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44E9" w:rsidRPr="003B113E" w:rsidRDefault="000B6B7E" w:rsidP="003B113E">
      <w:pPr>
        <w:pStyle w:val="Odstavekseznama"/>
        <w:jc w:val="center"/>
        <w:rPr>
          <w:b/>
        </w:rPr>
      </w:pPr>
      <w:r w:rsidRPr="0087091A">
        <w:rPr>
          <w:b/>
        </w:rPr>
        <w:t xml:space="preserve">NAVODILA </w:t>
      </w:r>
      <w:r w:rsidR="001B44E9">
        <w:rPr>
          <w:b/>
        </w:rPr>
        <w:t xml:space="preserve">ZASILNA </w:t>
      </w:r>
      <w:r w:rsidR="0012172D" w:rsidRPr="0087091A">
        <w:rPr>
          <w:b/>
        </w:rPr>
        <w:t>OSKRB</w:t>
      </w:r>
      <w:r w:rsidR="00875B03" w:rsidRPr="0087091A">
        <w:rPr>
          <w:b/>
        </w:rPr>
        <w:t xml:space="preserve">A </w:t>
      </w:r>
    </w:p>
    <w:p w:rsidR="00561F39" w:rsidRPr="00AE3145" w:rsidRDefault="00561F39" w:rsidP="00561F39">
      <w:pPr>
        <w:pStyle w:val="Odstavekseznama"/>
        <w:jc w:val="both"/>
        <w:rPr>
          <w:b/>
          <w:color w:val="FF0000"/>
        </w:rPr>
      </w:pPr>
    </w:p>
    <w:p w:rsidR="0012172D" w:rsidRPr="00561F39" w:rsidRDefault="0012172D" w:rsidP="00561F39">
      <w:pPr>
        <w:pStyle w:val="Odstavekseznama"/>
        <w:numPr>
          <w:ilvl w:val="0"/>
          <w:numId w:val="15"/>
        </w:numPr>
        <w:spacing w:after="0"/>
        <w:jc w:val="both"/>
        <w:rPr>
          <w:b/>
          <w:u w:val="single"/>
        </w:rPr>
      </w:pPr>
      <w:r w:rsidRPr="00561F39">
        <w:rPr>
          <w:b/>
          <w:u w:val="single"/>
        </w:rPr>
        <w:t xml:space="preserve">Kaj je </w:t>
      </w:r>
      <w:r w:rsidR="001B44E9">
        <w:rPr>
          <w:b/>
          <w:u w:val="single"/>
        </w:rPr>
        <w:t xml:space="preserve">zasilna </w:t>
      </w:r>
      <w:r w:rsidRPr="00561F39">
        <w:rPr>
          <w:b/>
          <w:u w:val="single"/>
        </w:rPr>
        <w:t xml:space="preserve">oskrba </w:t>
      </w:r>
    </w:p>
    <w:p w:rsidR="001B44E9" w:rsidRDefault="001B44E9" w:rsidP="001B44E9">
      <w:pPr>
        <w:spacing w:after="0"/>
        <w:jc w:val="both"/>
        <w:rPr>
          <w:b/>
        </w:rPr>
      </w:pPr>
      <w:r>
        <w:t xml:space="preserve">Zasilna oskrba </w:t>
      </w:r>
      <w:r w:rsidRPr="001B44E9">
        <w:t xml:space="preserve">pomeni oskrbo končnih odjemalcev z električno energijo skladno z določili </w:t>
      </w:r>
      <w:r w:rsidR="005424A4">
        <w:rPr>
          <w:b/>
        </w:rPr>
        <w:t xml:space="preserve">Zakona o oskrbi z električno </w:t>
      </w:r>
      <w:r w:rsidR="005424A4" w:rsidRPr="00D45DFA">
        <w:rPr>
          <w:b/>
        </w:rPr>
        <w:t>energijo</w:t>
      </w:r>
    </w:p>
    <w:p w:rsidR="005424A4" w:rsidRDefault="005424A4" w:rsidP="001B44E9">
      <w:pPr>
        <w:spacing w:after="0"/>
        <w:jc w:val="both"/>
      </w:pPr>
    </w:p>
    <w:p w:rsidR="007C16F0" w:rsidRDefault="007C16F0" w:rsidP="001B44E9">
      <w:pPr>
        <w:pStyle w:val="Odstavekseznama"/>
        <w:numPr>
          <w:ilvl w:val="0"/>
          <w:numId w:val="15"/>
        </w:numPr>
        <w:spacing w:after="0"/>
        <w:jc w:val="both"/>
      </w:pPr>
      <w:r w:rsidRPr="001B44E9">
        <w:rPr>
          <w:b/>
          <w:u w:val="single"/>
        </w:rPr>
        <w:t>Pravna podlaga</w:t>
      </w:r>
      <w:r>
        <w:t>:</w:t>
      </w:r>
    </w:p>
    <w:p w:rsidR="007C16F0" w:rsidRDefault="00EB71C7" w:rsidP="007C16F0">
      <w:pPr>
        <w:spacing w:after="0"/>
        <w:jc w:val="both"/>
      </w:pPr>
      <w:r>
        <w:rPr>
          <w:b/>
        </w:rPr>
        <w:t xml:space="preserve">Zakon o oskrbi z električno </w:t>
      </w:r>
      <w:r w:rsidRPr="00D45DFA">
        <w:rPr>
          <w:b/>
        </w:rPr>
        <w:t>energijo</w:t>
      </w:r>
      <w:r w:rsidR="00EF0642" w:rsidRPr="00D45DFA">
        <w:rPr>
          <w:b/>
        </w:rPr>
        <w:t xml:space="preserve"> </w:t>
      </w:r>
      <w:r w:rsidR="0064411E" w:rsidRPr="00D45DFA">
        <w:t xml:space="preserve">(Uradni list RS, št. </w:t>
      </w:r>
      <w:r w:rsidRPr="00D45DFA">
        <w:t>172</w:t>
      </w:r>
      <w:r w:rsidR="0064411E" w:rsidRPr="00D45DFA">
        <w:t>/</w:t>
      </w:r>
      <w:r w:rsidRPr="00D45DFA">
        <w:t>2021</w:t>
      </w:r>
      <w:r w:rsidR="0064411E" w:rsidRPr="00D45DFA">
        <w:t>)</w:t>
      </w:r>
      <w:r w:rsidR="00EF0642" w:rsidRPr="00D45DFA">
        <w:t>,</w:t>
      </w:r>
      <w:r w:rsidR="003D4C26" w:rsidRPr="00D45DFA">
        <w:t xml:space="preserve"> </w:t>
      </w:r>
      <w:r w:rsidRPr="00D45DFA">
        <w:t>32</w:t>
      </w:r>
      <w:r w:rsidR="003D4C26" w:rsidRPr="00D45DFA">
        <w:t>. člen</w:t>
      </w:r>
      <w:r w:rsidR="0064411E" w:rsidRPr="00D45DFA">
        <w:t>.</w:t>
      </w:r>
    </w:p>
    <w:p w:rsidR="001B44E9" w:rsidRPr="001B44E9" w:rsidRDefault="0001426A" w:rsidP="007C16F0">
      <w:pPr>
        <w:spacing w:after="0"/>
        <w:jc w:val="both"/>
        <w:rPr>
          <w:b/>
        </w:rPr>
      </w:pPr>
      <w:r w:rsidRPr="0001426A">
        <w:rPr>
          <w:b/>
        </w:rPr>
        <w:t xml:space="preserve">Pravila za delovanje trga z elektriko </w:t>
      </w:r>
      <w:r w:rsidRPr="00D45DFA">
        <w:t>(Urad</w:t>
      </w:r>
      <w:r w:rsidR="0064411E" w:rsidRPr="00D45DFA">
        <w:t>ni list RS, št. 74/18 in 62/19).</w:t>
      </w:r>
    </w:p>
    <w:p w:rsidR="007C16F0" w:rsidRDefault="00EF0642" w:rsidP="007C16F0">
      <w:pPr>
        <w:spacing w:after="0"/>
        <w:jc w:val="both"/>
      </w:pPr>
      <w:r w:rsidRPr="00444F1C">
        <w:rPr>
          <w:b/>
        </w:rPr>
        <w:t>Sistemska obratovalna navodila za distribucijski sistem električne energije</w:t>
      </w:r>
      <w:r>
        <w:t xml:space="preserve"> (Url. RS, št. 7/2021; v nadaljevanju: </w:t>
      </w:r>
      <w:r w:rsidR="007C16F0">
        <w:t>SONDSEE</w:t>
      </w:r>
      <w:r>
        <w:t>)</w:t>
      </w:r>
      <w:r w:rsidR="00660F56">
        <w:t>, poglavje VIII.4.</w:t>
      </w:r>
    </w:p>
    <w:p w:rsidR="001B44E9" w:rsidRDefault="001B44E9" w:rsidP="007C16F0">
      <w:pPr>
        <w:spacing w:after="0"/>
        <w:jc w:val="both"/>
      </w:pPr>
    </w:p>
    <w:p w:rsidR="00842000" w:rsidRDefault="003F1CB0" w:rsidP="00503473">
      <w:pPr>
        <w:pStyle w:val="Odstavekseznama"/>
        <w:numPr>
          <w:ilvl w:val="0"/>
          <w:numId w:val="15"/>
        </w:numPr>
        <w:spacing w:after="0"/>
        <w:jc w:val="both"/>
      </w:pPr>
      <w:r>
        <w:rPr>
          <w:b/>
          <w:u w:val="single"/>
        </w:rPr>
        <w:t xml:space="preserve">Vrste </w:t>
      </w:r>
      <w:r w:rsidR="001B44E9" w:rsidRPr="00503473">
        <w:rPr>
          <w:b/>
          <w:u w:val="single"/>
        </w:rPr>
        <w:t xml:space="preserve">zasilne </w:t>
      </w:r>
      <w:r w:rsidR="00FB1779" w:rsidRPr="00E419C9">
        <w:rPr>
          <w:b/>
          <w:u w:val="single"/>
        </w:rPr>
        <w:t>oskrbe</w:t>
      </w:r>
      <w:r w:rsidR="00842000" w:rsidRPr="00E419C9">
        <w:rPr>
          <w:b/>
          <w:u w:val="single"/>
        </w:rPr>
        <w:t xml:space="preserve"> </w:t>
      </w:r>
      <w:r w:rsidR="00E419C9" w:rsidRPr="00E419C9">
        <w:rPr>
          <w:b/>
          <w:u w:val="single"/>
        </w:rPr>
        <w:t>in njeno izvajanje</w:t>
      </w:r>
    </w:p>
    <w:p w:rsidR="003F1CB0" w:rsidRDefault="003F1CB0" w:rsidP="003F1CB0">
      <w:pPr>
        <w:pStyle w:val="Odstavekseznama"/>
        <w:spacing w:after="0"/>
        <w:ind w:left="644"/>
        <w:jc w:val="both"/>
      </w:pPr>
    </w:p>
    <w:p w:rsidR="007A2F24" w:rsidRPr="007A2F24" w:rsidRDefault="003F1CB0" w:rsidP="007A2F24">
      <w:pPr>
        <w:pStyle w:val="Odstavekseznama"/>
        <w:numPr>
          <w:ilvl w:val="1"/>
          <w:numId w:val="15"/>
        </w:numPr>
        <w:spacing w:after="0"/>
        <w:jc w:val="both"/>
        <w:rPr>
          <w:b/>
        </w:rPr>
      </w:pPr>
      <w:r w:rsidRPr="007A2F24">
        <w:rPr>
          <w:b/>
        </w:rPr>
        <w:t>Zasilna oskrba zaradi insolventnosti ali nelikvidnosti dobavitelja</w:t>
      </w:r>
    </w:p>
    <w:p w:rsidR="001B44E9" w:rsidRDefault="003F1CB0" w:rsidP="00842000">
      <w:pPr>
        <w:spacing w:after="0"/>
        <w:jc w:val="both"/>
      </w:pPr>
      <w:r w:rsidRPr="007074F0">
        <w:t xml:space="preserve">DO </w:t>
      </w:r>
      <w:r w:rsidR="00842000" w:rsidRPr="007074F0">
        <w:t xml:space="preserve">po prejemu obvestila izvajalca gospodarske javne službe operaterja trga z elektriko o odpovedi bilančne pogodbe dobavitelju in </w:t>
      </w:r>
      <w:r w:rsidRPr="007074F0">
        <w:t>o izključitvi dobavitelja iz bilančne sheme za vse obračunske merilne točke tega dobavitelja zaradi ukrepov, ki so posledica insolventnosti ali nelikvidnosti dobavitelja</w:t>
      </w:r>
      <w:r w:rsidR="00842000" w:rsidRPr="007074F0">
        <w:t xml:space="preserve">, </w:t>
      </w:r>
      <w:r w:rsidR="001B44E9" w:rsidRPr="007074F0">
        <w:t>samodejno in nemudoma</w:t>
      </w:r>
      <w:r w:rsidR="00842000" w:rsidRPr="007074F0">
        <w:t xml:space="preserve"> zagotovi zasilno oskrbo končnemu</w:t>
      </w:r>
      <w:r w:rsidR="001B44E9" w:rsidRPr="007074F0">
        <w:t xml:space="preserve"> odjemalc</w:t>
      </w:r>
      <w:r w:rsidR="00842000" w:rsidRPr="007074F0">
        <w:t>u</w:t>
      </w:r>
      <w:r w:rsidR="00503473" w:rsidRPr="007074F0">
        <w:t>.</w:t>
      </w:r>
      <w:r w:rsidR="001B44E9" w:rsidRPr="007074F0">
        <w:t xml:space="preserve"> </w:t>
      </w:r>
    </w:p>
    <w:p w:rsidR="007A2F24" w:rsidRPr="007074F0" w:rsidRDefault="007A2F24" w:rsidP="00842000">
      <w:pPr>
        <w:spacing w:after="0"/>
        <w:jc w:val="both"/>
      </w:pPr>
    </w:p>
    <w:p w:rsidR="001B44E9" w:rsidRPr="007074F0" w:rsidRDefault="003F1CB0" w:rsidP="003F1C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074F0">
        <w:t>O</w:t>
      </w:r>
      <w:r w:rsidR="001B44E9" w:rsidRPr="007074F0">
        <w:t>perater trga obvesti distribucijskega operaterja pisno</w:t>
      </w:r>
      <w:r w:rsidRPr="007074F0">
        <w:t xml:space="preserve"> s </w:t>
      </w:r>
      <w:r w:rsidR="001B44E9" w:rsidRPr="007074F0">
        <w:t>priporočeno</w:t>
      </w:r>
      <w:r w:rsidRPr="007074F0">
        <w:t xml:space="preserve"> pošto,</w:t>
      </w:r>
      <w:r w:rsidR="008B63BE" w:rsidRPr="007074F0">
        <w:t xml:space="preserve"> s</w:t>
      </w:r>
      <w:r w:rsidR="001B44E9" w:rsidRPr="007074F0">
        <w:t xml:space="preserve"> povratnico in na elektronski način skladno </w:t>
      </w:r>
      <w:r w:rsidRPr="007074F0">
        <w:t>z</w:t>
      </w:r>
      <w:r w:rsidR="001B44E9" w:rsidRPr="007074F0">
        <w:t xml:space="preserve"> 205. členom SONDSEE</w:t>
      </w:r>
      <w:r w:rsidRPr="007074F0">
        <w:t xml:space="preserve">, z navedbo </w:t>
      </w:r>
      <w:r w:rsidR="001B44E9" w:rsidRPr="007074F0">
        <w:t>razlog</w:t>
      </w:r>
      <w:r w:rsidRPr="007074F0">
        <w:t>ov o</w:t>
      </w:r>
      <w:r w:rsidR="001B44E9" w:rsidRPr="007074F0">
        <w:t xml:space="preserve"> izključitv</w:t>
      </w:r>
      <w:r w:rsidRPr="007074F0">
        <w:t>i</w:t>
      </w:r>
      <w:r w:rsidR="001B44E9" w:rsidRPr="007074F0">
        <w:t xml:space="preserve"> dobavitelja iz bilančne sheme. </w:t>
      </w:r>
      <w:r w:rsidRPr="007074F0">
        <w:t xml:space="preserve">DO </w:t>
      </w:r>
      <w:r w:rsidR="008B63BE" w:rsidRPr="007074F0">
        <w:t>t</w:t>
      </w:r>
      <w:r w:rsidR="001B44E9" w:rsidRPr="007074F0">
        <w:t>o obvestilo operaterja trga objavi na svoji spletni strani.</w:t>
      </w:r>
      <w:r w:rsidR="001B44E9" w:rsidRPr="007074F0">
        <w:rPr>
          <w:rFonts w:ascii="Times New Roman" w:eastAsia="Times New Roman" w:hAnsi="Times New Roman" w:cs="Times New Roman"/>
          <w:sz w:val="24"/>
          <w:szCs w:val="24"/>
          <w:lang w:eastAsia="sl-SI"/>
        </w:rPr>
        <w:t xml:space="preserve"> </w:t>
      </w:r>
    </w:p>
    <w:p w:rsidR="008B63BE" w:rsidRPr="007074F0" w:rsidRDefault="008B63BE" w:rsidP="008B63B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8B63BE" w:rsidRPr="000D3F6A" w:rsidRDefault="008B63BE" w:rsidP="008B63BE">
      <w:pPr>
        <w:spacing w:after="0" w:line="240" w:lineRule="auto"/>
        <w:jc w:val="both"/>
        <w:rPr>
          <w:highlight w:val="lightGray"/>
        </w:rPr>
      </w:pPr>
      <w:r w:rsidRPr="007074F0">
        <w:t>DO o prejetem in objavljenem obvestilu operaterja trga z elektriko, obvesti</w:t>
      </w:r>
      <w:r w:rsidR="000D3F6A">
        <w:t xml:space="preserve"> z </w:t>
      </w:r>
      <w:r w:rsidR="000D3F6A">
        <w:rPr>
          <w:highlight w:val="lightGray"/>
        </w:rPr>
        <w:t>O</w:t>
      </w:r>
      <w:r w:rsidR="000D3F6A" w:rsidRPr="000D3F6A">
        <w:rPr>
          <w:highlight w:val="lightGray"/>
        </w:rPr>
        <w:t>bvestilom</w:t>
      </w:r>
      <w:r w:rsidRPr="007074F0">
        <w:t xml:space="preserve"> tudi </w:t>
      </w:r>
      <w:r w:rsidRPr="000D3F6A">
        <w:rPr>
          <w:highlight w:val="lightGray"/>
        </w:rPr>
        <w:t>ostale dobavitelje</w:t>
      </w:r>
      <w:r w:rsidRPr="007074F0">
        <w:t xml:space="preserve"> registrirane pri distribucijskem operaterju ter</w:t>
      </w:r>
      <w:r w:rsidR="000D3F6A">
        <w:t xml:space="preserve"> z </w:t>
      </w:r>
      <w:r w:rsidR="000D3F6A" w:rsidRPr="000D3F6A">
        <w:rPr>
          <w:highlight w:val="lightGray"/>
        </w:rPr>
        <w:t>Obvestilom</w:t>
      </w:r>
      <w:r w:rsidRPr="007074F0">
        <w:t xml:space="preserve"> </w:t>
      </w:r>
      <w:r w:rsidRPr="000D3F6A">
        <w:rPr>
          <w:highlight w:val="lightGray"/>
        </w:rPr>
        <w:t>dobavitelja</w:t>
      </w:r>
      <w:r w:rsidRPr="007074F0">
        <w:t xml:space="preserve">, ki ga je distribucijski operater izbral za dobavo elektrike </w:t>
      </w:r>
      <w:r w:rsidRPr="000D3F6A">
        <w:rPr>
          <w:highlight w:val="lightGray"/>
        </w:rPr>
        <w:t>za pokrivanje izgub</w:t>
      </w:r>
      <w:bookmarkStart w:id="0" w:name="_GoBack"/>
      <w:bookmarkEnd w:id="0"/>
      <w:r w:rsidRPr="007074F0">
        <w:t xml:space="preserve"> v sistemu.</w:t>
      </w:r>
    </w:p>
    <w:p w:rsidR="00E419C9" w:rsidRPr="007074F0" w:rsidRDefault="00E419C9" w:rsidP="008B63BE">
      <w:pPr>
        <w:spacing w:after="0" w:line="240" w:lineRule="auto"/>
        <w:jc w:val="both"/>
      </w:pPr>
    </w:p>
    <w:p w:rsidR="00E419C9" w:rsidRDefault="00E419C9" w:rsidP="00E419C9">
      <w:pPr>
        <w:spacing w:after="0" w:line="240" w:lineRule="auto"/>
        <w:jc w:val="both"/>
      </w:pPr>
      <w:r w:rsidRPr="007074F0">
        <w:t xml:space="preserve">Zasilna oskrba se šteje kot </w:t>
      </w:r>
      <w:r w:rsidRPr="007074F0">
        <w:rPr>
          <w:b/>
        </w:rPr>
        <w:t>menjava dobavitelja</w:t>
      </w:r>
      <w:r w:rsidRPr="007074F0">
        <w:t xml:space="preserve"> in se izvede smiselno po postopku iz poglavja IX.4 SONDSEE (Postopek menjave dobavitelja obračunske merilne točke), pri čemer </w:t>
      </w:r>
      <w:r w:rsidR="007A2F24">
        <w:t>DO</w:t>
      </w:r>
      <w:r w:rsidRPr="007074F0">
        <w:t xml:space="preserve"> nastopa kot dobavitelj. </w:t>
      </w:r>
    </w:p>
    <w:p w:rsidR="007A2F24" w:rsidRPr="007074F0" w:rsidRDefault="007A2F24" w:rsidP="00E419C9">
      <w:pPr>
        <w:spacing w:after="0" w:line="240" w:lineRule="auto"/>
        <w:jc w:val="both"/>
      </w:pPr>
    </w:p>
    <w:p w:rsidR="00E419C9" w:rsidRDefault="00E419C9" w:rsidP="00E419C9">
      <w:pPr>
        <w:spacing w:after="0"/>
        <w:jc w:val="both"/>
        <w:rPr>
          <w:b/>
        </w:rPr>
      </w:pPr>
      <w:r w:rsidRPr="007074F0">
        <w:t>DO takoj po prejemu obvestila operaterja trga z elektriko o izključitvi dobavitel</w:t>
      </w:r>
      <w:r w:rsidR="00C7581A">
        <w:t>ja iz bilančne sheme ali z dne</w:t>
      </w:r>
      <w:r w:rsidRPr="007074F0">
        <w:t xml:space="preserve">m prenehanja bilančne pripadnosti, za vse obračunske merilne točke tega dobavitelja izvede menjavo dobavitelja iz navedenega (obstoječega) dobavitelja na distribucijskega operaterja, ki postane z dnem izključitve iz bilančne sheme novi dobavitelj za zasilno oskrbo. </w:t>
      </w:r>
      <w:r w:rsidRPr="007074F0">
        <w:rPr>
          <w:b/>
        </w:rPr>
        <w:t xml:space="preserve">Distribucijski operater v tem primeru pogodbe o zasilni oskrbi ne sklepa. </w:t>
      </w:r>
    </w:p>
    <w:p w:rsidR="007A2F24" w:rsidRPr="007074F0" w:rsidRDefault="007A2F24" w:rsidP="00E419C9">
      <w:pPr>
        <w:spacing w:after="0"/>
        <w:jc w:val="both"/>
        <w:rPr>
          <w:b/>
        </w:rPr>
      </w:pPr>
    </w:p>
    <w:p w:rsidR="00A77336" w:rsidRPr="007074F0" w:rsidRDefault="00A77336" w:rsidP="00A77336">
      <w:pPr>
        <w:spacing w:after="0"/>
        <w:jc w:val="both"/>
      </w:pPr>
      <w:r w:rsidRPr="007074F0">
        <w:t>Za potrebe menjave dobavitelja na obračunskih merilnih točkah, ki bodo prešla na zasilno oskrbo, distribucijski operater pridobi odčitek ali oceni odčitek s števca na dan menjave</w:t>
      </w:r>
      <w:r w:rsidR="007A2F24">
        <w:t xml:space="preserve">. </w:t>
      </w:r>
      <w:r w:rsidR="006D7E3D">
        <w:t>Tudi o</w:t>
      </w:r>
      <w:r w:rsidR="007A2F24">
        <w:t xml:space="preserve">dčitki pridobljeni po datumu pričetka izvajanja zasilne oskrbe bodo datirani na </w:t>
      </w:r>
      <w:r w:rsidR="006D7E3D">
        <w:t>dan menjave</w:t>
      </w:r>
      <w:r w:rsidR="007A2F24">
        <w:t>.</w:t>
      </w:r>
      <w:r w:rsidR="00790BA2">
        <w:t xml:space="preserve"> </w:t>
      </w:r>
    </w:p>
    <w:p w:rsidR="00F93961" w:rsidRPr="007074F0" w:rsidRDefault="00F93961" w:rsidP="00F93961">
      <w:pPr>
        <w:spacing w:after="0" w:line="240" w:lineRule="auto"/>
        <w:jc w:val="both"/>
      </w:pPr>
    </w:p>
    <w:p w:rsidR="00790BA2" w:rsidRDefault="00B7363F" w:rsidP="000C7191">
      <w:pPr>
        <w:spacing w:after="0" w:line="240" w:lineRule="auto"/>
        <w:jc w:val="both"/>
      </w:pPr>
      <w:r w:rsidRPr="00307311">
        <w:rPr>
          <w:b/>
        </w:rPr>
        <w:t>Pogodbeni izvajalec nalog DO</w:t>
      </w:r>
      <w:r w:rsidR="00C7581A">
        <w:t xml:space="preserve"> (Elektro CGLMP</w:t>
      </w:r>
      <w:r w:rsidRPr="007074F0">
        <w:t xml:space="preserve">) </w:t>
      </w:r>
      <w:r w:rsidR="00F93961" w:rsidRPr="007074F0">
        <w:t xml:space="preserve">najkasneje v roku </w:t>
      </w:r>
      <w:r w:rsidR="00F93961" w:rsidRPr="007074F0">
        <w:rPr>
          <w:b/>
        </w:rPr>
        <w:t>osmih delovnih dni</w:t>
      </w:r>
      <w:r w:rsidR="00F93961" w:rsidRPr="007074F0">
        <w:t xml:space="preserve"> od dneva prejema obvestila</w:t>
      </w:r>
      <w:r w:rsidRPr="007074F0">
        <w:t xml:space="preserve"> </w:t>
      </w:r>
      <w:r w:rsidR="00C2593F">
        <w:t xml:space="preserve">s strani </w:t>
      </w:r>
      <w:r w:rsidR="00907D62" w:rsidRPr="007074F0">
        <w:t xml:space="preserve"> </w:t>
      </w:r>
      <w:r w:rsidRPr="007074F0">
        <w:t>operaterja</w:t>
      </w:r>
      <w:r w:rsidR="006D7E3D">
        <w:t xml:space="preserve"> </w:t>
      </w:r>
      <w:r w:rsidRPr="007074F0">
        <w:t>trga z elektriko</w:t>
      </w:r>
      <w:r w:rsidR="00C2593F">
        <w:t>,</w:t>
      </w:r>
      <w:r w:rsidRPr="007074F0">
        <w:t xml:space="preserve"> pošlje</w:t>
      </w:r>
      <w:r w:rsidR="00F93961" w:rsidRPr="007074F0">
        <w:t xml:space="preserve"> </w:t>
      </w:r>
      <w:r w:rsidR="000C7191" w:rsidRPr="000C7191">
        <w:rPr>
          <w:b/>
          <w:highlight w:val="lightGray"/>
        </w:rPr>
        <w:t>O</w:t>
      </w:r>
      <w:r w:rsidR="006D2D18" w:rsidRPr="000C7191">
        <w:rPr>
          <w:b/>
          <w:highlight w:val="lightGray"/>
        </w:rPr>
        <w:t xml:space="preserve">bvestilo končnemu </w:t>
      </w:r>
      <w:r w:rsidR="00F93961" w:rsidRPr="000C7191">
        <w:rPr>
          <w:b/>
          <w:highlight w:val="lightGray"/>
        </w:rPr>
        <w:t>odjemalcu</w:t>
      </w:r>
      <w:r w:rsidR="00F93961" w:rsidRPr="000C7191">
        <w:rPr>
          <w:highlight w:val="lightGray"/>
        </w:rPr>
        <w:t xml:space="preserve"> o izključitvi njegovega dobavitelja iz bilančne sheme</w:t>
      </w:r>
      <w:r w:rsidR="000C7191">
        <w:t xml:space="preserve">. Podrobnejši postopek </w:t>
      </w:r>
      <w:r w:rsidR="00790BA2" w:rsidRPr="000C7191">
        <w:t xml:space="preserve">izvajanja in zagotavljanja zasilne oskrbe v primeru odpovedi bilančne pogodbe oziroma ob izključitvi dobavitelja iz bilančne sheme (zasilna oskrba v primeru insolventnosti) </w:t>
      </w:r>
      <w:r w:rsidR="000C7191">
        <w:t xml:space="preserve">je opredeljen v </w:t>
      </w:r>
      <w:r w:rsidR="000C7191" w:rsidRPr="000C7191">
        <w:rPr>
          <w:highlight w:val="lightGray"/>
        </w:rPr>
        <w:t xml:space="preserve">Pogojih izvajanja in zagotavljanja </w:t>
      </w:r>
      <w:r w:rsidR="000C7191" w:rsidRPr="000C7191">
        <w:rPr>
          <w:highlight w:val="lightGray"/>
        </w:rPr>
        <w:lastRenderedPageBreak/>
        <w:t>zasilne oskrbe z električno energijo v primeru odpovedi bilančne pogodbe oziroma ob izključitvi dobavitelja iz bilančne sheme</w:t>
      </w:r>
      <w:r w:rsidR="000C7191">
        <w:t xml:space="preserve">, in so skupaj z obvestilom končnemu odjemalcu </w:t>
      </w:r>
      <w:r w:rsidR="00790BA2" w:rsidRPr="000C7191">
        <w:t xml:space="preserve">priloga  teh </w:t>
      </w:r>
      <w:r w:rsidR="000C7191">
        <w:t>N</w:t>
      </w:r>
      <w:r w:rsidR="00790BA2" w:rsidRPr="000C7191">
        <w:t>avodil.</w:t>
      </w:r>
    </w:p>
    <w:p w:rsidR="00790BA2" w:rsidRPr="007074F0" w:rsidRDefault="00790BA2" w:rsidP="008B63BE">
      <w:pPr>
        <w:spacing w:after="0" w:line="240" w:lineRule="auto"/>
        <w:jc w:val="both"/>
      </w:pPr>
    </w:p>
    <w:p w:rsidR="003F1CB0" w:rsidRPr="007074F0" w:rsidRDefault="003F1CB0" w:rsidP="003F1CB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790BA2" w:rsidRDefault="00790BA2" w:rsidP="003B113E">
      <w:pPr>
        <w:spacing w:after="0"/>
        <w:ind w:left="708"/>
        <w:jc w:val="both"/>
        <w:rPr>
          <w:b/>
        </w:rPr>
      </w:pPr>
    </w:p>
    <w:p w:rsidR="003F1CB0" w:rsidRPr="007074F0" w:rsidRDefault="003F1CB0" w:rsidP="003B113E">
      <w:pPr>
        <w:spacing w:after="0"/>
        <w:ind w:left="708"/>
        <w:jc w:val="both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  <w:r w:rsidRPr="007074F0">
        <w:rPr>
          <w:b/>
        </w:rPr>
        <w:t>3.2 Zasilna oskrba na zahtevo</w:t>
      </w:r>
    </w:p>
    <w:p w:rsidR="001B44E9" w:rsidRPr="007074F0" w:rsidRDefault="003F1CB0" w:rsidP="001B44E9">
      <w:pPr>
        <w:spacing w:after="0" w:line="240" w:lineRule="auto"/>
      </w:pPr>
      <w:r w:rsidRPr="007074F0">
        <w:t xml:space="preserve">DO </w:t>
      </w:r>
      <w:r w:rsidR="001B44E9" w:rsidRPr="007074F0">
        <w:t xml:space="preserve">zagotovi zasilno oskrbo na zahtevo tudi vsakemu: </w:t>
      </w:r>
    </w:p>
    <w:p w:rsidR="001B44E9" w:rsidRPr="007074F0" w:rsidRDefault="001B44E9" w:rsidP="001B44E9">
      <w:pPr>
        <w:spacing w:after="0" w:line="240" w:lineRule="auto"/>
      </w:pPr>
      <w:r w:rsidRPr="007074F0">
        <w:t xml:space="preserve">– odjemalcu gospodinjskega odjema; </w:t>
      </w:r>
    </w:p>
    <w:p w:rsidR="003F1CB0" w:rsidRPr="007074F0" w:rsidRDefault="001B44E9" w:rsidP="001B44E9">
      <w:pPr>
        <w:spacing w:after="0" w:line="240" w:lineRule="auto"/>
      </w:pPr>
      <w:r w:rsidRPr="007074F0">
        <w:t xml:space="preserve">– malemu poslovnemu odjemalcu. </w:t>
      </w:r>
    </w:p>
    <w:p w:rsidR="003F1CB0" w:rsidRPr="007074F0" w:rsidRDefault="003F1CB0" w:rsidP="001B44E9">
      <w:pPr>
        <w:spacing w:after="0" w:line="240" w:lineRule="auto"/>
      </w:pPr>
    </w:p>
    <w:p w:rsidR="00E419C9" w:rsidRPr="007074F0" w:rsidRDefault="00CA36DD" w:rsidP="00E419C9">
      <w:pPr>
        <w:spacing w:after="0" w:line="240" w:lineRule="auto"/>
        <w:jc w:val="both"/>
      </w:pPr>
      <w:r w:rsidRPr="007074F0">
        <w:t xml:space="preserve">V </w:t>
      </w:r>
      <w:r w:rsidR="00E419C9" w:rsidRPr="007074F0">
        <w:t>primeru zasiln</w:t>
      </w:r>
      <w:r w:rsidRPr="007074F0">
        <w:t>e</w:t>
      </w:r>
      <w:r w:rsidR="00E419C9" w:rsidRPr="007074F0">
        <w:t xml:space="preserve"> oskrb</w:t>
      </w:r>
      <w:r w:rsidRPr="007074F0">
        <w:t>e</w:t>
      </w:r>
      <w:r w:rsidR="00E419C9" w:rsidRPr="007074F0">
        <w:t xml:space="preserve"> na zahtevo, se zasilna oskrba šteje kot menjava dobavitelja in se izvede smiselno po postopku iz poglavja IX.4 SONDSEE (Postopek menjave dobavitelja obračunske merilne točke), pri čemer distribucijski operater nastopa kot dobavitelj. </w:t>
      </w:r>
    </w:p>
    <w:p w:rsidR="00CA36DD" w:rsidRPr="007074F0" w:rsidRDefault="00CA36DD" w:rsidP="00E419C9">
      <w:pPr>
        <w:spacing w:after="0" w:line="240" w:lineRule="auto"/>
        <w:jc w:val="both"/>
      </w:pPr>
    </w:p>
    <w:p w:rsidR="00E419C9" w:rsidRPr="007074F0" w:rsidRDefault="00E419C9" w:rsidP="008B63BE">
      <w:pPr>
        <w:spacing w:after="0"/>
        <w:jc w:val="both"/>
      </w:pPr>
      <w:r w:rsidRPr="007074F0">
        <w:t xml:space="preserve">DO </w:t>
      </w:r>
      <w:r w:rsidR="00CA36DD" w:rsidRPr="007074F0">
        <w:t>oz. po</w:t>
      </w:r>
      <w:r w:rsidR="00AA3051">
        <w:t xml:space="preserve">godbeni </w:t>
      </w:r>
      <w:r w:rsidR="00D10F9F" w:rsidRPr="007074F0">
        <w:t xml:space="preserve">izvajalec </w:t>
      </w:r>
      <w:r w:rsidR="007074F0" w:rsidRPr="007074F0">
        <w:t xml:space="preserve">nalog </w:t>
      </w:r>
      <w:r w:rsidR="00D10F9F" w:rsidRPr="007074F0">
        <w:t xml:space="preserve">DO </w:t>
      </w:r>
      <w:r w:rsidR="00CA36DD" w:rsidRPr="007074F0">
        <w:t>p</w:t>
      </w:r>
      <w:r w:rsidR="008B63BE" w:rsidRPr="007074F0">
        <w:t>o prejemu zahteve končnega odjemalca za zasilno oskrbo presodi upravičenost do zasilne oskrbe na zahtevo. V primeru izpolnjevanja pogojev za zasilno oskrbo na zahtevo</w:t>
      </w:r>
      <w:r w:rsidR="00D10F9F" w:rsidRPr="007074F0">
        <w:t xml:space="preserve"> </w:t>
      </w:r>
      <w:r w:rsidR="00AA3051">
        <w:t>pogodbeni izvajalec nalog DO</w:t>
      </w:r>
      <w:r w:rsidR="008B63BE" w:rsidRPr="007074F0">
        <w:t xml:space="preserve"> končnemu odjemalcu v </w:t>
      </w:r>
      <w:r w:rsidR="008B63BE" w:rsidRPr="007074F0">
        <w:rPr>
          <w:b/>
        </w:rPr>
        <w:t>osmih delovnih dneh</w:t>
      </w:r>
      <w:r w:rsidR="008B63BE" w:rsidRPr="007074F0">
        <w:t xml:space="preserve"> od dneva prejema zahteve za zasilno oskrbo</w:t>
      </w:r>
      <w:r w:rsidRPr="007074F0">
        <w:t>,</w:t>
      </w:r>
      <w:r w:rsidR="008B63BE" w:rsidRPr="007074F0">
        <w:t xml:space="preserve"> pošlje v</w:t>
      </w:r>
      <w:r w:rsidRPr="007074F0">
        <w:t xml:space="preserve"> podpis</w:t>
      </w:r>
      <w:r w:rsidR="008B63BE" w:rsidRPr="007074F0">
        <w:t xml:space="preserve"> </w:t>
      </w:r>
      <w:r w:rsidR="00D45976" w:rsidRPr="00D45976">
        <w:rPr>
          <w:b/>
        </w:rPr>
        <w:t>P</w:t>
      </w:r>
      <w:r w:rsidR="008B63BE" w:rsidRPr="007074F0">
        <w:rPr>
          <w:b/>
        </w:rPr>
        <w:t>ogodbo o zasilni oskrbi skupaj s pogoji zasilne oskrbe</w:t>
      </w:r>
      <w:r w:rsidR="004D0F98">
        <w:t xml:space="preserve"> (</w:t>
      </w:r>
      <w:r w:rsidR="004D0F98" w:rsidRPr="00D45976">
        <w:rPr>
          <w:highlight w:val="lightGray"/>
        </w:rPr>
        <w:t>Pogodba</w:t>
      </w:r>
      <w:r w:rsidRPr="00D45976">
        <w:rPr>
          <w:highlight w:val="lightGray"/>
        </w:rPr>
        <w:t xml:space="preserve"> o zasilni oskrbi z električno energijo na zahtevo in Določila splošnega dela te pogodbe o zasilni oskrbi</w:t>
      </w:r>
      <w:r w:rsidR="003D472B">
        <w:t>, ki</w:t>
      </w:r>
      <w:r w:rsidRPr="007074F0">
        <w:t xml:space="preserve"> sta </w:t>
      </w:r>
      <w:r w:rsidR="003D472B">
        <w:t>prilogi</w:t>
      </w:r>
      <w:r w:rsidRPr="007074F0">
        <w:t xml:space="preserve"> teh Navodil).</w:t>
      </w:r>
    </w:p>
    <w:p w:rsidR="008609D4" w:rsidRPr="007074F0" w:rsidRDefault="008609D4" w:rsidP="008B63BE">
      <w:pPr>
        <w:spacing w:after="0"/>
        <w:jc w:val="both"/>
      </w:pPr>
    </w:p>
    <w:p w:rsidR="00E419C9" w:rsidRDefault="008B63BE" w:rsidP="008B63BE">
      <w:pPr>
        <w:spacing w:after="0"/>
        <w:jc w:val="both"/>
      </w:pPr>
      <w:r w:rsidRPr="007074F0">
        <w:t>Če</w:t>
      </w:r>
      <w:r w:rsidR="00D10F9F" w:rsidRPr="007074F0">
        <w:t xml:space="preserve"> </w:t>
      </w:r>
      <w:r w:rsidR="008609D4" w:rsidRPr="007074F0">
        <w:t>DO oz. p</w:t>
      </w:r>
      <w:r w:rsidR="00AF50FB">
        <w:t>ogodbeni</w:t>
      </w:r>
      <w:r w:rsidR="008609D4" w:rsidRPr="007074F0">
        <w:t xml:space="preserve"> izvajalec</w:t>
      </w:r>
      <w:r w:rsidR="007074F0" w:rsidRPr="007074F0">
        <w:t xml:space="preserve"> nalog</w:t>
      </w:r>
      <w:r w:rsidR="008609D4" w:rsidRPr="007074F0">
        <w:t xml:space="preserve"> DO </w:t>
      </w:r>
      <w:r w:rsidR="00E419C9" w:rsidRPr="007074F0">
        <w:t xml:space="preserve">s strani končnega odjemalca </w:t>
      </w:r>
      <w:r w:rsidRPr="007074F0">
        <w:t xml:space="preserve">ne prejme podpisane pogodbe o zasilni oskrbi, distribucijski operater šteje, da je končni odjemalec odstopil od zahteve za zasilno oskrbo. </w:t>
      </w:r>
    </w:p>
    <w:p w:rsidR="00C7581A" w:rsidRPr="007074F0" w:rsidRDefault="00C7581A" w:rsidP="008B63BE">
      <w:pPr>
        <w:spacing w:after="0"/>
        <w:jc w:val="both"/>
      </w:pPr>
    </w:p>
    <w:p w:rsidR="008B63BE" w:rsidRDefault="008B63BE" w:rsidP="008B63BE">
      <w:pPr>
        <w:spacing w:after="0"/>
        <w:jc w:val="both"/>
      </w:pPr>
      <w:r w:rsidRPr="007074F0">
        <w:t>Distribucijski operater</w:t>
      </w:r>
      <w:r w:rsidR="00D10F9F" w:rsidRPr="007074F0">
        <w:t xml:space="preserve"> </w:t>
      </w:r>
      <w:r w:rsidR="008609D4" w:rsidRPr="007074F0">
        <w:t xml:space="preserve">oz. </w:t>
      </w:r>
      <w:r w:rsidR="001C2813">
        <w:t xml:space="preserve">pogodbeni </w:t>
      </w:r>
      <w:r w:rsidR="008609D4" w:rsidRPr="007074F0">
        <w:t xml:space="preserve">izvajalec </w:t>
      </w:r>
      <w:r w:rsidR="007074F0" w:rsidRPr="007074F0">
        <w:t xml:space="preserve">nalog </w:t>
      </w:r>
      <w:r w:rsidR="008609D4" w:rsidRPr="007074F0">
        <w:t>DO</w:t>
      </w:r>
      <w:r w:rsidRPr="007074F0">
        <w:t xml:space="preserve"> prične z menjavo dobavitelja na zasilno oskrbo na zahtevo po prejemu podpisane pogodbe o zasilni oskrbi. V primeru zavrnitve distribucijski operater</w:t>
      </w:r>
      <w:r w:rsidR="00C7581A">
        <w:t xml:space="preserve"> </w:t>
      </w:r>
      <w:r w:rsidR="007074F0" w:rsidRPr="007074F0">
        <w:t xml:space="preserve">oz. </w:t>
      </w:r>
      <w:r w:rsidR="001C2813">
        <w:t>pogodbeni</w:t>
      </w:r>
      <w:r w:rsidR="007074F0" w:rsidRPr="007074F0">
        <w:t xml:space="preserve"> izvajalec nalog DO</w:t>
      </w:r>
      <w:r w:rsidR="00C7581A">
        <w:t>,</w:t>
      </w:r>
      <w:r w:rsidRPr="007074F0">
        <w:t xml:space="preserve"> končnega odjemalca v osmih delovnih dneh od dneva prejema zahteve za zasilno oskrbo</w:t>
      </w:r>
      <w:r w:rsidR="00E419C9" w:rsidRPr="007074F0">
        <w:t>,</w:t>
      </w:r>
      <w:r w:rsidRPr="007074F0">
        <w:t xml:space="preserve"> obvesti o zavrnitvi zasilne oskrbe na zahtevo. </w:t>
      </w:r>
    </w:p>
    <w:p w:rsidR="00C7581A" w:rsidRPr="007074F0" w:rsidRDefault="00C7581A" w:rsidP="008B63BE">
      <w:pPr>
        <w:spacing w:after="0"/>
        <w:jc w:val="both"/>
      </w:pPr>
    </w:p>
    <w:p w:rsidR="001B44E9" w:rsidRPr="007074F0" w:rsidRDefault="008B63BE" w:rsidP="008B63BE">
      <w:pPr>
        <w:spacing w:after="0"/>
        <w:jc w:val="both"/>
      </w:pPr>
      <w:r w:rsidRPr="007074F0">
        <w:t>Za potrebe menjave dobavitelja na obračunskih merilnih točkah, ki bodo prešla na zasilno oskrbo, distribucijski operater pridobi odčitek ali oceni odčitek s števca na dan menjave</w:t>
      </w:r>
      <w:r w:rsidR="00F448A9">
        <w:t>.</w:t>
      </w:r>
      <w:r w:rsidR="00F448A9" w:rsidRPr="00F448A9">
        <w:t xml:space="preserve"> </w:t>
      </w:r>
      <w:r w:rsidR="00C7581A">
        <w:t>O</w:t>
      </w:r>
      <w:r w:rsidR="00F448A9" w:rsidRPr="00F448A9">
        <w:t>dčitki pridobljeni po datumu pričetka izvajanja zasilne oskrbe bodo datirani na dan menjave.</w:t>
      </w:r>
    </w:p>
    <w:p w:rsidR="00F448A9" w:rsidRDefault="00F448A9" w:rsidP="00192C90">
      <w:pPr>
        <w:spacing w:after="0"/>
        <w:jc w:val="both"/>
      </w:pPr>
    </w:p>
    <w:p w:rsidR="00F448A9" w:rsidRPr="007074F0" w:rsidRDefault="00F448A9" w:rsidP="00192C90">
      <w:pPr>
        <w:spacing w:after="0"/>
        <w:jc w:val="both"/>
      </w:pPr>
    </w:p>
    <w:p w:rsidR="006D2D18" w:rsidRPr="007074F0" w:rsidRDefault="003B113E" w:rsidP="006E3E86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sl-SI"/>
        </w:rPr>
      </w:pPr>
      <w:r w:rsidRPr="007074F0">
        <w:rPr>
          <w:b/>
          <w:u w:val="single"/>
        </w:rPr>
        <w:t>C</w:t>
      </w:r>
      <w:r w:rsidR="006D2D18" w:rsidRPr="007074F0">
        <w:rPr>
          <w:b/>
          <w:u w:val="single"/>
        </w:rPr>
        <w:t xml:space="preserve">enik zasilne oskrbe </w:t>
      </w:r>
      <w:r w:rsidR="006D2D18" w:rsidRPr="007074F0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begin"/>
      </w:r>
      <w:r w:rsidR="006D2D18" w:rsidRPr="007074F0">
        <w:rPr>
          <w:rFonts w:ascii="Times New Roman" w:eastAsia="Times New Roman" w:hAnsi="Times New Roman" w:cs="Times New Roman"/>
          <w:sz w:val="24"/>
          <w:szCs w:val="24"/>
          <w:lang w:eastAsia="sl-SI"/>
        </w:rPr>
        <w:instrText xml:space="preserve"> HYPERLINK "https://www.uradni-list.si/glasilo-uradni-list-rs/vsebina/2021-01-0152/sistemska-obratovalna-navodila-za-distribucijski-sistem-elektricne-energije/" \l "(cenik zasilne oskrbe)" </w:instrText>
      </w:r>
      <w:r w:rsidR="006D2D18" w:rsidRPr="007074F0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separate"/>
      </w:r>
    </w:p>
    <w:p w:rsidR="006D2D18" w:rsidRPr="007074F0" w:rsidRDefault="006D2D18" w:rsidP="006D2D1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sl-SI"/>
        </w:rPr>
      </w:pPr>
    </w:p>
    <w:p w:rsidR="006D2D18" w:rsidRPr="001B44E9" w:rsidRDefault="006D2D18" w:rsidP="00E61289">
      <w:pPr>
        <w:spacing w:after="0" w:line="240" w:lineRule="auto"/>
        <w:jc w:val="both"/>
      </w:pPr>
      <w:r w:rsidRPr="007074F0">
        <w:rPr>
          <w:rFonts w:ascii="Times New Roman" w:eastAsia="Times New Roman" w:hAnsi="Times New Roman" w:cs="Times New Roman"/>
          <w:sz w:val="24"/>
          <w:szCs w:val="24"/>
          <w:lang w:eastAsia="sl-SI"/>
        </w:rPr>
        <w:fldChar w:fldCharType="end"/>
      </w:r>
      <w:r w:rsidR="00B57073" w:rsidRPr="00B57073">
        <w:t xml:space="preserve">DO </w:t>
      </w:r>
      <w:r w:rsidR="001350F6" w:rsidRPr="001350F6">
        <w:rPr>
          <w:highlight w:val="lightGray"/>
        </w:rPr>
        <w:t>C</w:t>
      </w:r>
      <w:r w:rsidR="00B57073" w:rsidRPr="001350F6">
        <w:rPr>
          <w:highlight w:val="lightGray"/>
        </w:rPr>
        <w:t>enik za zasilno oskrbo</w:t>
      </w:r>
      <w:r w:rsidR="00B57073" w:rsidRPr="00B57073">
        <w:t xml:space="preserve"> v skladu z veljavnimi predpisi usklajuje predvidoma mesečno, glede na rast cen električne energije na trgu.</w:t>
      </w:r>
      <w:r w:rsidRPr="00801350">
        <w:t xml:space="preserve"> </w:t>
      </w:r>
      <w:r w:rsidR="00397BDD" w:rsidRPr="00801350">
        <w:t>O</w:t>
      </w:r>
      <w:r w:rsidRPr="00801350">
        <w:t>mrežnina</w:t>
      </w:r>
      <w:r w:rsidRPr="007074F0">
        <w:t xml:space="preserve"> in prispevki se obračunavajo skladno z veljavno zakonodajo. Hkrati z objavo cenika </w:t>
      </w:r>
      <w:r w:rsidR="00F448A9">
        <w:t xml:space="preserve">DO </w:t>
      </w:r>
      <w:r w:rsidRPr="007074F0">
        <w:t xml:space="preserve">objavi tudi </w:t>
      </w:r>
      <w:r w:rsidR="00B57073">
        <w:t xml:space="preserve">pogoje za izvajanje </w:t>
      </w:r>
      <w:r w:rsidRPr="007074F0">
        <w:t xml:space="preserve">zasilne oskrbe iz </w:t>
      </w:r>
      <w:r w:rsidR="00EB71C7">
        <w:t>32</w:t>
      </w:r>
      <w:r w:rsidR="00E61289">
        <w:t xml:space="preserve">. člena </w:t>
      </w:r>
      <w:r w:rsidR="00EB71C7">
        <w:t>zakona o oskrbi z električno energijo</w:t>
      </w:r>
      <w:r w:rsidRPr="007074F0">
        <w:t xml:space="preserve"> in </w:t>
      </w:r>
      <w:r w:rsidR="00E61289">
        <w:t xml:space="preserve">228. člena </w:t>
      </w:r>
      <w:r w:rsidRPr="007074F0">
        <w:t xml:space="preserve">SONDSEE. </w:t>
      </w:r>
    </w:p>
    <w:p w:rsidR="0016503A" w:rsidRDefault="0016503A" w:rsidP="00192C90">
      <w:pPr>
        <w:spacing w:after="0"/>
        <w:jc w:val="both"/>
      </w:pPr>
    </w:p>
    <w:p w:rsidR="003B113E" w:rsidRPr="001B44E9" w:rsidRDefault="003B113E" w:rsidP="003B113E">
      <w:pPr>
        <w:spacing w:after="0" w:line="240" w:lineRule="auto"/>
        <w:rPr>
          <w:rFonts w:eastAsia="Times New Roman" w:cstheme="minorHAnsi"/>
          <w:color w:val="0000FF"/>
          <w:u w:val="single"/>
          <w:lang w:eastAsia="sl-SI"/>
        </w:rPr>
      </w:pPr>
      <w:r w:rsidRPr="001B44E9">
        <w:rPr>
          <w:rFonts w:eastAsia="Times New Roman" w:cstheme="minorHAnsi"/>
          <w:lang w:eastAsia="sl-SI"/>
        </w:rPr>
        <w:fldChar w:fldCharType="begin"/>
      </w:r>
      <w:r w:rsidRPr="001B44E9">
        <w:rPr>
          <w:rFonts w:eastAsia="Times New Roman" w:cstheme="minorHAnsi"/>
          <w:lang w:eastAsia="sl-SI"/>
        </w:rPr>
        <w:instrText xml:space="preserve"> HYPERLINK "https://www.uradni-list.si/glasilo-uradni-list-rs/vsebina/2021-01-0152/sistemska-obratovalna-navodila-za-distribucijski-sistem-elektricne-energije/" \l "(trajanje zasilne oskrbe)" </w:instrText>
      </w:r>
      <w:r w:rsidRPr="001B44E9">
        <w:rPr>
          <w:rFonts w:eastAsia="Times New Roman" w:cstheme="minorHAnsi"/>
          <w:lang w:eastAsia="sl-SI"/>
        </w:rPr>
        <w:fldChar w:fldCharType="separate"/>
      </w:r>
    </w:p>
    <w:p w:rsidR="003B113E" w:rsidRPr="00916EA9" w:rsidRDefault="003B113E" w:rsidP="003B113E">
      <w:pPr>
        <w:pStyle w:val="Odstavekseznama"/>
        <w:numPr>
          <w:ilvl w:val="0"/>
          <w:numId w:val="15"/>
        </w:numPr>
        <w:spacing w:after="0" w:line="240" w:lineRule="auto"/>
        <w:jc w:val="both"/>
        <w:rPr>
          <w:rFonts w:eastAsia="Times New Roman" w:cstheme="minorHAnsi"/>
          <w:color w:val="0000FF"/>
          <w:u w:val="single"/>
          <w:lang w:eastAsia="sl-SI"/>
        </w:rPr>
      </w:pPr>
      <w:r w:rsidRPr="00916EA9">
        <w:rPr>
          <w:rFonts w:cstheme="minorHAnsi"/>
          <w:b/>
          <w:u w:val="single"/>
        </w:rPr>
        <w:t xml:space="preserve">Trajanje zasilne oskrbe </w:t>
      </w:r>
      <w:r w:rsidRPr="001B44E9">
        <w:rPr>
          <w:rFonts w:eastAsia="Times New Roman" w:cstheme="minorHAnsi"/>
          <w:lang w:eastAsia="sl-SI"/>
        </w:rPr>
        <w:fldChar w:fldCharType="begin"/>
      </w:r>
      <w:r w:rsidRPr="00916EA9">
        <w:rPr>
          <w:rFonts w:eastAsia="Times New Roman" w:cstheme="minorHAnsi"/>
          <w:lang w:eastAsia="sl-SI"/>
        </w:rPr>
        <w:instrText xml:space="preserve"> HYPERLINK "https://www.uradni-list.si/glasilo-uradni-list-rs/vsebina/2021-01-0152/sistemska-obratovalna-navodila-za-distribucijski-sistem-elektricne-energije/" \l "(cenik zasilne oskrbe)" </w:instrText>
      </w:r>
      <w:r w:rsidRPr="001B44E9">
        <w:rPr>
          <w:rFonts w:eastAsia="Times New Roman" w:cstheme="minorHAnsi"/>
          <w:lang w:eastAsia="sl-SI"/>
        </w:rPr>
        <w:fldChar w:fldCharType="separate"/>
      </w:r>
    </w:p>
    <w:p w:rsidR="003B113E" w:rsidRPr="001B44E9" w:rsidRDefault="003B113E" w:rsidP="003B113E">
      <w:pPr>
        <w:spacing w:after="0" w:line="240" w:lineRule="auto"/>
        <w:rPr>
          <w:rFonts w:eastAsia="Times New Roman" w:cstheme="minorHAnsi"/>
          <w:lang w:eastAsia="sl-SI"/>
        </w:rPr>
      </w:pPr>
    </w:p>
    <w:p w:rsidR="00397BDD" w:rsidRDefault="003B113E" w:rsidP="00397BD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1B44E9">
        <w:rPr>
          <w:rFonts w:eastAsia="Times New Roman" w:cstheme="minorHAnsi"/>
          <w:lang w:eastAsia="sl-SI"/>
        </w:rPr>
        <w:fldChar w:fldCharType="end"/>
      </w:r>
      <w:r w:rsidRPr="001B44E9">
        <w:rPr>
          <w:rFonts w:eastAsia="Times New Roman" w:cstheme="minorHAnsi"/>
          <w:lang w:eastAsia="sl-SI"/>
        </w:rPr>
        <w:fldChar w:fldCharType="end"/>
      </w:r>
      <w:r w:rsidRPr="00916EA9">
        <w:rPr>
          <w:rFonts w:cstheme="minorHAnsi"/>
          <w:b/>
        </w:rPr>
        <w:t xml:space="preserve">Zasilna oskrba zaradi </w:t>
      </w:r>
      <w:r w:rsidRPr="001B44E9">
        <w:rPr>
          <w:rFonts w:cstheme="minorHAnsi"/>
          <w:b/>
        </w:rPr>
        <w:t>insolventnosti ali nelikvidnosti dobavitelja</w:t>
      </w:r>
      <w:r w:rsidRPr="00916EA9">
        <w:rPr>
          <w:rFonts w:eastAsia="Times New Roman" w:cstheme="minorHAnsi"/>
          <w:lang w:eastAsia="sl-SI"/>
        </w:rPr>
        <w:t xml:space="preserve"> </w:t>
      </w:r>
      <w:r w:rsidR="00397BDD">
        <w:rPr>
          <w:rFonts w:eastAsia="Times New Roman" w:cstheme="minorHAnsi"/>
          <w:lang w:eastAsia="sl-SI"/>
        </w:rPr>
        <w:t xml:space="preserve">iz točke 3.1 teh navodil in </w:t>
      </w:r>
      <w:r w:rsidR="00397BDD" w:rsidRPr="00397BDD">
        <w:rPr>
          <w:rFonts w:eastAsia="Times New Roman" w:cstheme="minorHAnsi"/>
          <w:b/>
          <w:lang w:eastAsia="sl-SI"/>
        </w:rPr>
        <w:t>Z</w:t>
      </w:r>
      <w:r w:rsidRPr="00397BDD">
        <w:rPr>
          <w:rFonts w:eastAsia="Times New Roman" w:cstheme="minorHAnsi"/>
          <w:b/>
          <w:lang w:eastAsia="sl-SI"/>
        </w:rPr>
        <w:t>asilna oskrba na zahtevo</w:t>
      </w:r>
      <w:r w:rsidRPr="00916EA9">
        <w:rPr>
          <w:rFonts w:eastAsia="Times New Roman" w:cstheme="minorHAnsi"/>
          <w:lang w:eastAsia="sl-SI"/>
        </w:rPr>
        <w:t xml:space="preserve">, iz točke 3.2 teh navodil, </w:t>
      </w:r>
      <w:r w:rsidRPr="001B44E9">
        <w:rPr>
          <w:rFonts w:eastAsia="Times New Roman" w:cstheme="minorHAnsi"/>
          <w:lang w:eastAsia="sl-SI"/>
        </w:rPr>
        <w:t>se izvaja za nedoločen čas</w:t>
      </w:r>
      <w:r w:rsidRPr="00916EA9">
        <w:rPr>
          <w:rFonts w:eastAsia="Times New Roman" w:cstheme="minorHAnsi"/>
          <w:lang w:eastAsia="sl-SI"/>
        </w:rPr>
        <w:t>,</w:t>
      </w:r>
      <w:r w:rsidRPr="001B44E9">
        <w:rPr>
          <w:rFonts w:eastAsia="Times New Roman" w:cstheme="minorHAnsi"/>
          <w:lang w:eastAsia="sl-SI"/>
        </w:rPr>
        <w:t xml:space="preserve"> </w:t>
      </w:r>
      <w:r w:rsidR="00397BDD">
        <w:rPr>
          <w:rFonts w:eastAsia="Times New Roman" w:cstheme="minorHAnsi"/>
          <w:lang w:eastAsia="sl-SI"/>
        </w:rPr>
        <w:t xml:space="preserve"> če končni odjemalec izpolnjuje</w:t>
      </w:r>
      <w:r w:rsidR="00F1593F">
        <w:rPr>
          <w:rFonts w:eastAsia="Times New Roman" w:cstheme="minorHAnsi"/>
          <w:lang w:eastAsia="sl-SI"/>
        </w:rPr>
        <w:t xml:space="preserve"> </w:t>
      </w:r>
      <w:r w:rsidR="00F1593F">
        <w:rPr>
          <w:rFonts w:eastAsia="Times New Roman" w:cstheme="minorHAnsi"/>
          <w:lang w:eastAsia="sl-SI"/>
        </w:rPr>
        <w:lastRenderedPageBreak/>
        <w:t>pogoje iz 228. člena SONDSEE, kar pomeni</w:t>
      </w:r>
      <w:r w:rsidR="00397BDD">
        <w:rPr>
          <w:rFonts w:eastAsia="Times New Roman" w:cstheme="minorHAnsi"/>
          <w:lang w:eastAsia="sl-SI"/>
        </w:rPr>
        <w:t xml:space="preserve">, da </w:t>
      </w:r>
      <w:r w:rsidR="00397BDD" w:rsidRPr="00307311">
        <w:rPr>
          <w:rFonts w:eastAsia="Times New Roman" w:cstheme="minorHAnsi"/>
          <w:lang w:eastAsia="sl-SI"/>
        </w:rPr>
        <w:t xml:space="preserve">sprotno poravnava vse zapadle obveznosti iz naslova izvajanja zasilne oskrbe. </w:t>
      </w:r>
    </w:p>
    <w:p w:rsidR="00BA6D8C" w:rsidRPr="001B44E9" w:rsidRDefault="00BA6D8C" w:rsidP="00397BDD">
      <w:pPr>
        <w:spacing w:after="0" w:line="240" w:lineRule="auto"/>
        <w:jc w:val="both"/>
        <w:rPr>
          <w:rFonts w:eastAsia="Times New Roman" w:cstheme="minorHAnsi"/>
          <w:lang w:eastAsia="sl-SI"/>
        </w:rPr>
      </w:pPr>
    </w:p>
    <w:p w:rsidR="003B113E" w:rsidRPr="001B44E9" w:rsidRDefault="003B113E" w:rsidP="00397BDD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1B44E9">
        <w:rPr>
          <w:rFonts w:eastAsia="Times New Roman" w:cstheme="minorHAnsi"/>
          <w:lang w:eastAsia="sl-SI"/>
        </w:rPr>
        <w:t>V primeru neizpolnjevanja navedenih pogojev</w:t>
      </w:r>
      <w:r w:rsidR="00BA6D8C">
        <w:rPr>
          <w:rFonts w:eastAsia="Times New Roman" w:cstheme="minorHAnsi"/>
          <w:lang w:eastAsia="sl-SI"/>
        </w:rPr>
        <w:t xml:space="preserve"> iz 228. člena SONDSEE,</w:t>
      </w:r>
      <w:r w:rsidRPr="001B44E9">
        <w:rPr>
          <w:rFonts w:eastAsia="Times New Roman" w:cstheme="minorHAnsi"/>
          <w:lang w:eastAsia="sl-SI"/>
        </w:rPr>
        <w:t xml:space="preserve"> </w:t>
      </w:r>
      <w:r w:rsidR="00397BDD" w:rsidRPr="00397BDD">
        <w:rPr>
          <w:rFonts w:cstheme="minorHAnsi"/>
        </w:rPr>
        <w:t xml:space="preserve">DO </w:t>
      </w:r>
      <w:r w:rsidR="007074F0">
        <w:rPr>
          <w:rFonts w:cstheme="minorHAnsi"/>
        </w:rPr>
        <w:t xml:space="preserve">ali </w:t>
      </w:r>
      <w:r w:rsidR="001C2813">
        <w:rPr>
          <w:rFonts w:cstheme="minorHAnsi"/>
        </w:rPr>
        <w:t xml:space="preserve">pogodbeni </w:t>
      </w:r>
      <w:r w:rsidR="007074F0" w:rsidRPr="007074F0">
        <w:rPr>
          <w:rFonts w:cstheme="minorHAnsi"/>
        </w:rPr>
        <w:t>izvajalec nalog DO</w:t>
      </w:r>
      <w:r w:rsidR="007074F0">
        <w:rPr>
          <w:rFonts w:cstheme="minorHAnsi"/>
        </w:rPr>
        <w:t>,</w:t>
      </w:r>
      <w:r w:rsidR="007074F0" w:rsidRPr="007074F0">
        <w:rPr>
          <w:rFonts w:cstheme="minorHAnsi"/>
        </w:rPr>
        <w:t xml:space="preserve"> </w:t>
      </w:r>
      <w:r w:rsidR="00397BDD" w:rsidRPr="00397BDD">
        <w:rPr>
          <w:rFonts w:eastAsia="Times New Roman" w:cstheme="minorHAnsi"/>
          <w:lang w:eastAsia="sl-SI"/>
        </w:rPr>
        <w:t xml:space="preserve">ravna skladno z 215. členom </w:t>
      </w:r>
      <w:r w:rsidRPr="001B44E9">
        <w:rPr>
          <w:rFonts w:eastAsia="Times New Roman" w:cstheme="minorHAnsi"/>
          <w:lang w:eastAsia="sl-SI"/>
        </w:rPr>
        <w:t>SONDSEE</w:t>
      </w:r>
      <w:r w:rsidR="00397BDD" w:rsidRPr="00397BDD">
        <w:rPr>
          <w:rFonts w:eastAsia="Times New Roman" w:cstheme="minorHAnsi"/>
          <w:lang w:eastAsia="sl-SI"/>
        </w:rPr>
        <w:t xml:space="preserve"> in nadaljuje z aktivnostmi za odklop po predhodnem obvestilu.</w:t>
      </w:r>
    </w:p>
    <w:p w:rsidR="0016503A" w:rsidRDefault="0016503A" w:rsidP="00192C90">
      <w:pPr>
        <w:spacing w:after="0"/>
        <w:jc w:val="both"/>
      </w:pPr>
    </w:p>
    <w:p w:rsidR="00BA6D8C" w:rsidRDefault="00BA6D8C" w:rsidP="00BA6D8C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>
        <w:rPr>
          <w:rFonts w:cstheme="minorHAnsi"/>
        </w:rPr>
        <w:t>P</w:t>
      </w:r>
      <w:r w:rsidR="001C2813">
        <w:rPr>
          <w:rFonts w:cstheme="minorHAnsi"/>
        </w:rPr>
        <w:t>ogodbeni</w:t>
      </w:r>
      <w:r w:rsidRPr="00D10F9F">
        <w:rPr>
          <w:rFonts w:cstheme="minorHAnsi"/>
        </w:rPr>
        <w:t xml:space="preserve"> izvajalec </w:t>
      </w:r>
      <w:r>
        <w:rPr>
          <w:rFonts w:cstheme="minorHAnsi"/>
        </w:rPr>
        <w:t xml:space="preserve">nalog </w:t>
      </w:r>
      <w:r w:rsidRPr="00D10F9F">
        <w:rPr>
          <w:rFonts w:cstheme="minorHAnsi"/>
        </w:rPr>
        <w:t>DO</w:t>
      </w:r>
      <w:r w:rsidRPr="00397BDD">
        <w:rPr>
          <w:rFonts w:cstheme="minorHAnsi"/>
        </w:rPr>
        <w:t xml:space="preserve"> mora končnega odjemalca </w:t>
      </w:r>
      <w:r w:rsidRPr="001B44E9">
        <w:rPr>
          <w:rFonts w:eastAsia="Times New Roman" w:cstheme="minorHAnsi"/>
          <w:lang w:eastAsia="sl-SI"/>
        </w:rPr>
        <w:t>na vsakem računu za zasilno oskrbo opozori</w:t>
      </w:r>
      <w:r w:rsidRPr="00397BDD">
        <w:rPr>
          <w:rFonts w:eastAsia="Times New Roman" w:cstheme="minorHAnsi"/>
          <w:lang w:eastAsia="sl-SI"/>
        </w:rPr>
        <w:t xml:space="preserve">ti </w:t>
      </w:r>
      <w:r w:rsidRPr="001B44E9">
        <w:rPr>
          <w:rFonts w:eastAsia="Times New Roman" w:cstheme="minorHAnsi"/>
          <w:lang w:eastAsia="sl-SI"/>
        </w:rPr>
        <w:t>na pravico do menjave dobavitelja električne energije in</w:t>
      </w:r>
      <w:r w:rsidRPr="00397BDD">
        <w:rPr>
          <w:rFonts w:eastAsia="Times New Roman" w:cstheme="minorHAnsi"/>
          <w:lang w:eastAsia="sl-SI"/>
        </w:rPr>
        <w:t xml:space="preserve"> ga seznaniti, da je cena </w:t>
      </w:r>
      <w:r w:rsidRPr="001B44E9">
        <w:rPr>
          <w:rFonts w:eastAsia="Times New Roman" w:cstheme="minorHAnsi"/>
          <w:lang w:eastAsia="sl-SI"/>
        </w:rPr>
        <w:t>električne energije</w:t>
      </w:r>
      <w:r w:rsidRPr="00397BDD">
        <w:rPr>
          <w:rFonts w:eastAsia="Times New Roman" w:cstheme="minorHAnsi"/>
          <w:lang w:eastAsia="sl-SI"/>
        </w:rPr>
        <w:t xml:space="preserve"> za zasilno oskrbo</w:t>
      </w:r>
      <w:r>
        <w:rPr>
          <w:rFonts w:eastAsia="Times New Roman" w:cstheme="minorHAnsi"/>
          <w:lang w:eastAsia="sl-SI"/>
        </w:rPr>
        <w:t xml:space="preserve"> do 25%</w:t>
      </w:r>
      <w:r w:rsidRPr="00397BDD">
        <w:rPr>
          <w:rFonts w:eastAsia="Times New Roman" w:cstheme="minorHAnsi"/>
          <w:lang w:eastAsia="sl-SI"/>
        </w:rPr>
        <w:t xml:space="preserve"> </w:t>
      </w:r>
      <w:r w:rsidRPr="001B44E9">
        <w:rPr>
          <w:rFonts w:eastAsia="Times New Roman" w:cstheme="minorHAnsi"/>
          <w:lang w:eastAsia="sl-SI"/>
        </w:rPr>
        <w:t>višj</w:t>
      </w:r>
      <w:r w:rsidRPr="00397BDD">
        <w:rPr>
          <w:rFonts w:eastAsia="Times New Roman" w:cstheme="minorHAnsi"/>
          <w:lang w:eastAsia="sl-SI"/>
        </w:rPr>
        <w:t>a</w:t>
      </w:r>
      <w:r>
        <w:rPr>
          <w:rFonts w:eastAsia="Times New Roman" w:cstheme="minorHAnsi"/>
          <w:lang w:eastAsia="sl-SI"/>
        </w:rPr>
        <w:t xml:space="preserve"> od tržne cene</w:t>
      </w:r>
      <w:r w:rsidRPr="001B44E9">
        <w:rPr>
          <w:rFonts w:eastAsia="Times New Roman" w:cstheme="minorHAnsi"/>
          <w:lang w:eastAsia="sl-SI"/>
        </w:rPr>
        <w:t xml:space="preserve"> </w:t>
      </w:r>
      <w:r>
        <w:rPr>
          <w:rFonts w:eastAsia="Times New Roman" w:cstheme="minorHAnsi"/>
          <w:lang w:eastAsia="sl-SI"/>
        </w:rPr>
        <w:t>elektrike na organiziranem trgu z električno energi</w:t>
      </w:r>
      <w:r w:rsidRPr="001B44E9">
        <w:rPr>
          <w:rFonts w:eastAsia="Times New Roman" w:cstheme="minorHAnsi"/>
          <w:lang w:eastAsia="sl-SI"/>
        </w:rPr>
        <w:t xml:space="preserve">jo. </w:t>
      </w:r>
    </w:p>
    <w:p w:rsidR="001C2813" w:rsidRPr="00C7581A" w:rsidRDefault="001C2813" w:rsidP="00BA6D8C">
      <w:pPr>
        <w:spacing w:after="0" w:line="240" w:lineRule="auto"/>
        <w:jc w:val="both"/>
        <w:rPr>
          <w:rFonts w:cstheme="minorHAnsi"/>
        </w:rPr>
      </w:pPr>
    </w:p>
    <w:p w:rsidR="00502FBF" w:rsidRPr="00502FBF" w:rsidRDefault="001D4BAA" w:rsidP="00502FBF">
      <w:pPr>
        <w:pStyle w:val="Odstavekseznama"/>
        <w:numPr>
          <w:ilvl w:val="0"/>
          <w:numId w:val="15"/>
        </w:numPr>
        <w:spacing w:after="0"/>
        <w:jc w:val="both"/>
        <w:rPr>
          <w:rFonts w:cstheme="minorHAnsi"/>
          <w:b/>
          <w:u w:val="single"/>
        </w:rPr>
      </w:pPr>
      <w:r>
        <w:rPr>
          <w:rFonts w:cstheme="minorHAnsi"/>
          <w:b/>
          <w:u w:val="single"/>
        </w:rPr>
        <w:t>Obveščanje operat</w:t>
      </w:r>
      <w:r w:rsidR="00C541B7">
        <w:rPr>
          <w:rFonts w:cstheme="minorHAnsi"/>
          <w:b/>
          <w:u w:val="single"/>
        </w:rPr>
        <w:t>erja trga z elektriko</w:t>
      </w:r>
    </w:p>
    <w:p w:rsidR="00502FBF" w:rsidRPr="001B44E9" w:rsidRDefault="00502FBF" w:rsidP="00502FBF">
      <w:pPr>
        <w:spacing w:after="0" w:line="240" w:lineRule="auto"/>
        <w:jc w:val="both"/>
        <w:rPr>
          <w:rFonts w:eastAsia="Times New Roman" w:cstheme="minorHAnsi"/>
          <w:lang w:eastAsia="sl-SI"/>
        </w:rPr>
      </w:pPr>
      <w:r w:rsidRPr="0062383B">
        <w:rPr>
          <w:rFonts w:cstheme="minorHAnsi"/>
        </w:rPr>
        <w:t>DO</w:t>
      </w:r>
      <w:r w:rsidRPr="00397BDD">
        <w:rPr>
          <w:rFonts w:cstheme="minorHAnsi"/>
        </w:rPr>
        <w:t xml:space="preserve">  </w:t>
      </w:r>
      <w:r w:rsidRPr="001B44E9">
        <w:rPr>
          <w:rFonts w:eastAsia="Times New Roman" w:cstheme="minorHAnsi"/>
          <w:lang w:eastAsia="sl-SI"/>
        </w:rPr>
        <w:t xml:space="preserve">na način iz drugega odstavka 223. člena SONDSEE obvesti </w:t>
      </w:r>
      <w:r w:rsidR="000D3F6A">
        <w:rPr>
          <w:rFonts w:eastAsia="Times New Roman" w:cstheme="minorHAnsi"/>
          <w:lang w:eastAsia="sl-SI"/>
        </w:rPr>
        <w:t xml:space="preserve">z </w:t>
      </w:r>
      <w:r w:rsidR="000D3F6A" w:rsidRPr="000D3F6A">
        <w:rPr>
          <w:rFonts w:eastAsia="Times New Roman" w:cstheme="minorHAnsi"/>
          <w:b/>
          <w:highlight w:val="lightGray"/>
          <w:lang w:eastAsia="sl-SI"/>
        </w:rPr>
        <w:t>Obvestilom</w:t>
      </w:r>
      <w:r w:rsidR="000D3F6A">
        <w:rPr>
          <w:rFonts w:eastAsia="Times New Roman" w:cstheme="minorHAnsi"/>
          <w:lang w:eastAsia="sl-SI"/>
        </w:rPr>
        <w:t xml:space="preserve"> </w:t>
      </w:r>
      <w:r w:rsidRPr="001B44E9">
        <w:rPr>
          <w:rFonts w:eastAsia="Times New Roman" w:cstheme="minorHAnsi"/>
          <w:lang w:eastAsia="sl-SI"/>
        </w:rPr>
        <w:t xml:space="preserve">operaterja trga z elektriko </w:t>
      </w:r>
      <w:r w:rsidRPr="000D3F6A">
        <w:rPr>
          <w:rFonts w:eastAsia="Times New Roman" w:cstheme="minorHAnsi"/>
          <w:highlight w:val="lightGray"/>
          <w:lang w:eastAsia="sl-SI"/>
        </w:rPr>
        <w:t>o nastopu in zaključku zasilne oskrbe</w:t>
      </w:r>
      <w:r w:rsidRPr="001B44E9">
        <w:rPr>
          <w:rFonts w:eastAsia="Times New Roman" w:cstheme="minorHAnsi"/>
          <w:lang w:eastAsia="sl-SI"/>
        </w:rPr>
        <w:t xml:space="preserve"> na posameznem merilnem mestu v roku, ki je določen v predpisu, ki ureja delovanje trga z elektriko. </w:t>
      </w:r>
    </w:p>
    <w:p w:rsidR="00502FBF" w:rsidRDefault="00502FBF" w:rsidP="001D4BAA">
      <w:pPr>
        <w:pStyle w:val="Odstavekseznama"/>
        <w:spacing w:after="0"/>
        <w:ind w:left="644"/>
        <w:jc w:val="both"/>
        <w:rPr>
          <w:rFonts w:cstheme="minorHAnsi"/>
          <w:b/>
          <w:u w:val="single"/>
        </w:rPr>
      </w:pPr>
    </w:p>
    <w:p w:rsidR="00502FBF" w:rsidRPr="001D4BAA" w:rsidRDefault="00502FBF" w:rsidP="001D4BAA">
      <w:pPr>
        <w:pStyle w:val="Odstavekseznama"/>
        <w:spacing w:after="0"/>
        <w:ind w:left="644"/>
        <w:jc w:val="both"/>
        <w:rPr>
          <w:rFonts w:cstheme="minorHAnsi"/>
          <w:b/>
          <w:u w:val="single"/>
        </w:rPr>
      </w:pPr>
    </w:p>
    <w:p w:rsidR="00314830" w:rsidRPr="00314830" w:rsidRDefault="00307311" w:rsidP="00314830">
      <w:pPr>
        <w:pStyle w:val="Odstavekseznama"/>
        <w:numPr>
          <w:ilvl w:val="0"/>
          <w:numId w:val="31"/>
        </w:numPr>
        <w:spacing w:after="0"/>
        <w:jc w:val="both"/>
      </w:pPr>
      <w:r w:rsidRPr="00F448A9">
        <w:rPr>
          <w:rFonts w:cstheme="minorHAnsi"/>
          <w:b/>
          <w:u w:val="single"/>
        </w:rPr>
        <w:t>Priloge</w:t>
      </w:r>
    </w:p>
    <w:p w:rsidR="00314830" w:rsidRPr="00307311" w:rsidRDefault="00314830" w:rsidP="00314830">
      <w:pPr>
        <w:pStyle w:val="Odstavekseznama"/>
        <w:numPr>
          <w:ilvl w:val="0"/>
          <w:numId w:val="31"/>
        </w:numPr>
        <w:spacing w:after="0"/>
        <w:jc w:val="both"/>
      </w:pPr>
      <w:r w:rsidRPr="00307311">
        <w:t>Pogodba za zasilno oskrbo z električno energijo na zahtevo</w:t>
      </w:r>
    </w:p>
    <w:p w:rsidR="00307311" w:rsidRPr="00314830" w:rsidRDefault="00314830" w:rsidP="00314830">
      <w:pPr>
        <w:pStyle w:val="Odstavekseznama"/>
        <w:numPr>
          <w:ilvl w:val="0"/>
          <w:numId w:val="31"/>
        </w:numPr>
        <w:spacing w:after="0"/>
        <w:jc w:val="both"/>
      </w:pPr>
      <w:r w:rsidRPr="00307311">
        <w:t>Določila Splošnega dela Pogodba za zasilno oskrbo z električno energijo na zahtevo</w:t>
      </w:r>
    </w:p>
    <w:p w:rsidR="00790BA2" w:rsidRDefault="00790BA2" w:rsidP="00790BA2">
      <w:pPr>
        <w:pStyle w:val="Odstavekseznama"/>
        <w:numPr>
          <w:ilvl w:val="0"/>
          <w:numId w:val="31"/>
        </w:numPr>
        <w:spacing w:after="0"/>
        <w:jc w:val="both"/>
      </w:pPr>
      <w:r w:rsidRPr="00790BA2">
        <w:t xml:space="preserve">Pogoji izvajanja in zagotavljanja zasilne oskrbe v primeru odpovedi bilančne pogodbe oziroma ob izključitvi dobavitelja iz bilančne sheme </w:t>
      </w:r>
    </w:p>
    <w:p w:rsidR="00790BA2" w:rsidRDefault="00790BA2" w:rsidP="00790BA2">
      <w:pPr>
        <w:pStyle w:val="Odstavekseznama"/>
        <w:numPr>
          <w:ilvl w:val="0"/>
          <w:numId w:val="31"/>
        </w:numPr>
        <w:spacing w:after="0"/>
        <w:jc w:val="both"/>
      </w:pPr>
      <w:r w:rsidRPr="00307311">
        <w:t xml:space="preserve">Obvestilo </w:t>
      </w:r>
      <w:r w:rsidR="003460A5">
        <w:t xml:space="preserve">odjemalcu </w:t>
      </w:r>
      <w:r w:rsidRPr="00307311">
        <w:t>o odpovedi bilančne pogodbe obstoječemu dobavitelju ter zagotovitvi zasilne oskrbe z električno energijo</w:t>
      </w:r>
      <w:r>
        <w:t xml:space="preserve"> </w:t>
      </w:r>
    </w:p>
    <w:p w:rsidR="00307311" w:rsidRDefault="00307311" w:rsidP="00790BA2">
      <w:pPr>
        <w:pStyle w:val="Odstavekseznama"/>
        <w:numPr>
          <w:ilvl w:val="0"/>
          <w:numId w:val="31"/>
        </w:numPr>
        <w:spacing w:after="0"/>
        <w:jc w:val="both"/>
      </w:pPr>
      <w:r w:rsidRPr="00307311">
        <w:t>Obvestilo o odpovedi bilančne pogodbe dobavitelju ter zagotovitvi zasilne oskrbe z električno energijo</w:t>
      </w:r>
      <w:r w:rsidR="00EC78A8">
        <w:t xml:space="preserve"> (</w:t>
      </w:r>
      <w:r w:rsidR="00E035BA">
        <w:t xml:space="preserve">vsem </w:t>
      </w:r>
      <w:r w:rsidR="00EC78A8">
        <w:t>izvajalcem nalog DO)</w:t>
      </w:r>
    </w:p>
    <w:p w:rsidR="00307311" w:rsidRDefault="00307311" w:rsidP="00307311">
      <w:pPr>
        <w:pStyle w:val="Odstavekseznama"/>
        <w:numPr>
          <w:ilvl w:val="0"/>
          <w:numId w:val="31"/>
        </w:numPr>
        <w:spacing w:after="0"/>
        <w:jc w:val="both"/>
      </w:pPr>
      <w:r w:rsidRPr="00307311">
        <w:t>Obvestilo aktivnim dobavit</w:t>
      </w:r>
      <w:r>
        <w:t>e</w:t>
      </w:r>
      <w:r w:rsidRPr="00307311">
        <w:t>ljem</w:t>
      </w:r>
      <w:r>
        <w:t xml:space="preserve"> </w:t>
      </w:r>
      <w:r w:rsidRPr="00307311">
        <w:t>o odpovedi bilančne pogodbe dobavitelju</w:t>
      </w:r>
      <w:r w:rsidR="00E035BA">
        <w:t xml:space="preserve"> (vsem dobaviteljem)</w:t>
      </w:r>
    </w:p>
    <w:p w:rsidR="007E22E1" w:rsidRDefault="00307311" w:rsidP="000B4E42">
      <w:pPr>
        <w:pStyle w:val="Odstavekseznama"/>
        <w:numPr>
          <w:ilvl w:val="0"/>
          <w:numId w:val="31"/>
        </w:numPr>
        <w:spacing w:after="0"/>
        <w:jc w:val="both"/>
      </w:pPr>
      <w:r w:rsidRPr="00307311">
        <w:t>Obvestilo o odpovedi bilančne pogodbe dobavitel</w:t>
      </w:r>
      <w:r w:rsidR="007E22E1">
        <w:t>ju za pokrivanje izgub v sistemu</w:t>
      </w:r>
      <w:r w:rsidR="00EC78A8">
        <w:t xml:space="preserve"> (Dobavitelju izgub)</w:t>
      </w:r>
    </w:p>
    <w:p w:rsidR="00790BA2" w:rsidRPr="00307311" w:rsidRDefault="00E035BA" w:rsidP="00E035BA">
      <w:pPr>
        <w:pStyle w:val="Odstavekseznama"/>
        <w:numPr>
          <w:ilvl w:val="0"/>
          <w:numId w:val="31"/>
        </w:numPr>
        <w:spacing w:after="0"/>
        <w:jc w:val="both"/>
      </w:pPr>
      <w:r w:rsidRPr="00E035BA">
        <w:t>Obvestilo o nastopu oz. zaključku zasilne oskrbe</w:t>
      </w:r>
      <w:r>
        <w:t xml:space="preserve"> (o</w:t>
      </w:r>
      <w:r w:rsidR="00790BA2">
        <w:t>bvestilo operaterju trga</w:t>
      </w:r>
      <w:r>
        <w:t>)</w:t>
      </w:r>
    </w:p>
    <w:p w:rsidR="00851A1F" w:rsidRDefault="00851A1F" w:rsidP="002D53CF">
      <w:pPr>
        <w:jc w:val="both"/>
      </w:pPr>
    </w:p>
    <w:p w:rsidR="00851A1F" w:rsidRDefault="00851A1F" w:rsidP="002D53CF">
      <w:pPr>
        <w:jc w:val="both"/>
      </w:pPr>
    </w:p>
    <w:p w:rsidR="00851A1F" w:rsidRDefault="00851A1F" w:rsidP="00851A1F"/>
    <w:sectPr w:rsidR="00851A1F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09F7" w:rsidRDefault="00B909F7" w:rsidP="0019250C">
      <w:pPr>
        <w:spacing w:after="0" w:line="240" w:lineRule="auto"/>
      </w:pPr>
      <w:r>
        <w:separator/>
      </w:r>
    </w:p>
  </w:endnote>
  <w:endnote w:type="continuationSeparator" w:id="0">
    <w:p w:rsidR="00B909F7" w:rsidRDefault="00B909F7" w:rsidP="00192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09F7" w:rsidRDefault="00B909F7" w:rsidP="0019250C">
      <w:pPr>
        <w:spacing w:after="0" w:line="240" w:lineRule="auto"/>
      </w:pPr>
      <w:r>
        <w:separator/>
      </w:r>
    </w:p>
  </w:footnote>
  <w:footnote w:type="continuationSeparator" w:id="0">
    <w:p w:rsidR="00B909F7" w:rsidRDefault="00B909F7" w:rsidP="00192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514F" w:rsidRDefault="005B514F" w:rsidP="0019250C">
    <w:pPr>
      <w:pStyle w:val="Glava"/>
      <w:jc w:val="right"/>
    </w:pPr>
    <w:r w:rsidRPr="00A17818">
      <w:rPr>
        <w:noProof/>
        <w:lang w:eastAsia="sl-SI"/>
      </w:rPr>
      <w:drawing>
        <wp:inline distT="0" distB="0" distL="0" distR="0" wp14:anchorId="684B6CB8" wp14:editId="3096BA84">
          <wp:extent cx="1498600" cy="819150"/>
          <wp:effectExtent l="0" t="0" r="6350" b="0"/>
          <wp:docPr id="1" name="Slika 1" descr="C:\Users\so2015\AppData\Local\Microsoft\Windows\Temporary Internet Files\Content.Outlook\XKUCJ0CZ\SODO-CGP-2014_osnovni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lika 1" descr="C:\Users\so2015\AppData\Local\Microsoft\Windows\Temporary Internet Files\Content.Outlook\XKUCJ0CZ\SODO-CGP-2014_osnovni_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98600" cy="819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22313B"/>
    <w:multiLevelType w:val="multilevel"/>
    <w:tmpl w:val="7DB4CE6E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02A52977"/>
    <w:multiLevelType w:val="hybridMultilevel"/>
    <w:tmpl w:val="2AFEAA1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7F5ADD"/>
    <w:multiLevelType w:val="hybridMultilevel"/>
    <w:tmpl w:val="BFB867AC"/>
    <w:lvl w:ilvl="0" w:tplc="03B4590E">
      <w:start w:val="2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046EE"/>
    <w:multiLevelType w:val="hybridMultilevel"/>
    <w:tmpl w:val="93EA2626"/>
    <w:lvl w:ilvl="0" w:tplc="CA12A9D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  <w:sz w:val="16"/>
        <w:szCs w:val="16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6321C"/>
    <w:multiLevelType w:val="multilevel"/>
    <w:tmpl w:val="25EE96B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>
    <w:nsid w:val="0AF92064"/>
    <w:multiLevelType w:val="multilevel"/>
    <w:tmpl w:val="3AA078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6">
    <w:nsid w:val="0D0243F9"/>
    <w:multiLevelType w:val="multilevel"/>
    <w:tmpl w:val="3AA078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7">
    <w:nsid w:val="0E4D6076"/>
    <w:multiLevelType w:val="hybridMultilevel"/>
    <w:tmpl w:val="A544B832"/>
    <w:lvl w:ilvl="0" w:tplc="8B48EE1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E8951FF"/>
    <w:multiLevelType w:val="hybridMultilevel"/>
    <w:tmpl w:val="5E4CF1D4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2712AF8"/>
    <w:multiLevelType w:val="multilevel"/>
    <w:tmpl w:val="32F0959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0">
    <w:nsid w:val="133A5001"/>
    <w:multiLevelType w:val="hybridMultilevel"/>
    <w:tmpl w:val="BBE0F3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4A82E8E"/>
    <w:multiLevelType w:val="hybridMultilevel"/>
    <w:tmpl w:val="48B811B8"/>
    <w:lvl w:ilvl="0" w:tplc="5360FCFE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755C08"/>
    <w:multiLevelType w:val="hybridMultilevel"/>
    <w:tmpl w:val="B96E5338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B00C67"/>
    <w:multiLevelType w:val="hybridMultilevel"/>
    <w:tmpl w:val="7E6A12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1608E4"/>
    <w:multiLevelType w:val="hybridMultilevel"/>
    <w:tmpl w:val="384072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B578CD"/>
    <w:multiLevelType w:val="hybridMultilevel"/>
    <w:tmpl w:val="8F1496B0"/>
    <w:lvl w:ilvl="0" w:tplc="DF70533C">
      <w:start w:val="21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6E369F1"/>
    <w:multiLevelType w:val="hybridMultilevel"/>
    <w:tmpl w:val="7E6A129E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DA259F"/>
    <w:multiLevelType w:val="hybridMultilevel"/>
    <w:tmpl w:val="1A14BBC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924401"/>
    <w:multiLevelType w:val="hybridMultilevel"/>
    <w:tmpl w:val="8BC2F2F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EC75DB"/>
    <w:multiLevelType w:val="hybridMultilevel"/>
    <w:tmpl w:val="6C4AE89E"/>
    <w:lvl w:ilvl="0" w:tplc="7EF4FF5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B1E0C83"/>
    <w:multiLevelType w:val="multilevel"/>
    <w:tmpl w:val="932EC64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21">
    <w:nsid w:val="4C727614"/>
    <w:multiLevelType w:val="multilevel"/>
    <w:tmpl w:val="932EC64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10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4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77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572" w:hanging="1800"/>
      </w:pPr>
      <w:rPr>
        <w:rFonts w:hint="default"/>
      </w:rPr>
    </w:lvl>
  </w:abstractNum>
  <w:abstractNum w:abstractNumId="22">
    <w:nsid w:val="4EF67EF1"/>
    <w:multiLevelType w:val="hybridMultilevel"/>
    <w:tmpl w:val="1AF8FB1C"/>
    <w:lvl w:ilvl="0" w:tplc="04240001">
      <w:start w:val="1"/>
      <w:numFmt w:val="bullet"/>
      <w:lvlText w:val=""/>
      <w:lvlJc w:val="left"/>
      <w:pPr>
        <w:ind w:left="771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9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21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93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5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7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9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81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531" w:hanging="360"/>
      </w:pPr>
      <w:rPr>
        <w:rFonts w:ascii="Wingdings" w:hAnsi="Wingdings" w:hint="default"/>
      </w:rPr>
    </w:lvl>
  </w:abstractNum>
  <w:abstractNum w:abstractNumId="23">
    <w:nsid w:val="52071416"/>
    <w:multiLevelType w:val="hybridMultilevel"/>
    <w:tmpl w:val="3840724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567564"/>
    <w:multiLevelType w:val="hybridMultilevel"/>
    <w:tmpl w:val="97D2D0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DBD6038"/>
    <w:multiLevelType w:val="hybridMultilevel"/>
    <w:tmpl w:val="500C516A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120113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  <w:sz w:val="22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5F1211F2"/>
    <w:multiLevelType w:val="hybridMultilevel"/>
    <w:tmpl w:val="AB963182"/>
    <w:lvl w:ilvl="0" w:tplc="49861110">
      <w:start w:val="3"/>
      <w:numFmt w:val="bullet"/>
      <w:lvlText w:val="-"/>
      <w:lvlJc w:val="left"/>
      <w:pPr>
        <w:ind w:left="717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7">
    <w:nsid w:val="70617FA3"/>
    <w:multiLevelType w:val="hybridMultilevel"/>
    <w:tmpl w:val="17322982"/>
    <w:lvl w:ilvl="0" w:tplc="A3488104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A3C139F"/>
    <w:multiLevelType w:val="hybridMultilevel"/>
    <w:tmpl w:val="19900384"/>
    <w:lvl w:ilvl="0" w:tplc="99248B3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BB8236C"/>
    <w:multiLevelType w:val="hybridMultilevel"/>
    <w:tmpl w:val="6486E4AE"/>
    <w:lvl w:ilvl="0" w:tplc="DE5AC97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F2D44B4"/>
    <w:multiLevelType w:val="multilevel"/>
    <w:tmpl w:val="C62CFE8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>
    <w:abstractNumId w:val="2"/>
  </w:num>
  <w:num w:numId="2">
    <w:abstractNumId w:val="15"/>
  </w:num>
  <w:num w:numId="3">
    <w:abstractNumId w:val="11"/>
  </w:num>
  <w:num w:numId="4">
    <w:abstractNumId w:val="7"/>
  </w:num>
  <w:num w:numId="5">
    <w:abstractNumId w:val="28"/>
  </w:num>
  <w:num w:numId="6">
    <w:abstractNumId w:val="14"/>
  </w:num>
  <w:num w:numId="7">
    <w:abstractNumId w:val="23"/>
  </w:num>
  <w:num w:numId="8">
    <w:abstractNumId w:val="16"/>
  </w:num>
  <w:num w:numId="9">
    <w:abstractNumId w:val="10"/>
  </w:num>
  <w:num w:numId="10">
    <w:abstractNumId w:val="12"/>
  </w:num>
  <w:num w:numId="11">
    <w:abstractNumId w:val="18"/>
  </w:num>
  <w:num w:numId="12">
    <w:abstractNumId w:val="1"/>
  </w:num>
  <w:num w:numId="13">
    <w:abstractNumId w:val="13"/>
  </w:num>
  <w:num w:numId="14">
    <w:abstractNumId w:val="8"/>
  </w:num>
  <w:num w:numId="15">
    <w:abstractNumId w:val="6"/>
  </w:num>
  <w:num w:numId="16">
    <w:abstractNumId w:val="22"/>
  </w:num>
  <w:num w:numId="17">
    <w:abstractNumId w:val="17"/>
  </w:num>
  <w:num w:numId="18">
    <w:abstractNumId w:val="21"/>
  </w:num>
  <w:num w:numId="19">
    <w:abstractNumId w:val="4"/>
  </w:num>
  <w:num w:numId="20">
    <w:abstractNumId w:val="3"/>
  </w:num>
  <w:num w:numId="21">
    <w:abstractNumId w:val="24"/>
  </w:num>
  <w:num w:numId="22">
    <w:abstractNumId w:val="25"/>
  </w:num>
  <w:num w:numId="23">
    <w:abstractNumId w:val="29"/>
  </w:num>
  <w:num w:numId="24">
    <w:abstractNumId w:val="20"/>
  </w:num>
  <w:num w:numId="25">
    <w:abstractNumId w:val="5"/>
  </w:num>
  <w:num w:numId="26">
    <w:abstractNumId w:val="0"/>
  </w:num>
  <w:num w:numId="27">
    <w:abstractNumId w:val="9"/>
  </w:num>
  <w:num w:numId="28">
    <w:abstractNumId w:val="30"/>
  </w:num>
  <w:num w:numId="29">
    <w:abstractNumId w:val="19"/>
  </w:num>
  <w:num w:numId="30">
    <w:abstractNumId w:val="26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7E"/>
    <w:rsid w:val="000107DB"/>
    <w:rsid w:val="0001426A"/>
    <w:rsid w:val="00021173"/>
    <w:rsid w:val="000456C9"/>
    <w:rsid w:val="000724CD"/>
    <w:rsid w:val="00074DFC"/>
    <w:rsid w:val="00075595"/>
    <w:rsid w:val="000B4E42"/>
    <w:rsid w:val="000B6B7E"/>
    <w:rsid w:val="000C1EE8"/>
    <w:rsid w:val="000C4C36"/>
    <w:rsid w:val="000C7191"/>
    <w:rsid w:val="000D3F6A"/>
    <w:rsid w:val="000E0AE3"/>
    <w:rsid w:val="0012172D"/>
    <w:rsid w:val="001259AE"/>
    <w:rsid w:val="001350F6"/>
    <w:rsid w:val="0016141B"/>
    <w:rsid w:val="0016503A"/>
    <w:rsid w:val="00184EB1"/>
    <w:rsid w:val="0019250C"/>
    <w:rsid w:val="00192C90"/>
    <w:rsid w:val="001B0ACF"/>
    <w:rsid w:val="001B44E9"/>
    <w:rsid w:val="001C0BB0"/>
    <w:rsid w:val="001C2813"/>
    <w:rsid w:val="001D28FB"/>
    <w:rsid w:val="001D4BAA"/>
    <w:rsid w:val="001E2C75"/>
    <w:rsid w:val="00216F80"/>
    <w:rsid w:val="0022173C"/>
    <w:rsid w:val="00222882"/>
    <w:rsid w:val="00273834"/>
    <w:rsid w:val="0028260F"/>
    <w:rsid w:val="002C6185"/>
    <w:rsid w:val="002C66E5"/>
    <w:rsid w:val="002D53CF"/>
    <w:rsid w:val="00307311"/>
    <w:rsid w:val="00314830"/>
    <w:rsid w:val="003273AB"/>
    <w:rsid w:val="003460A5"/>
    <w:rsid w:val="00397BDD"/>
    <w:rsid w:val="003A2A79"/>
    <w:rsid w:val="003B113E"/>
    <w:rsid w:val="003B51BE"/>
    <w:rsid w:val="003D472B"/>
    <w:rsid w:val="003D4C26"/>
    <w:rsid w:val="003F1CB0"/>
    <w:rsid w:val="00423B5B"/>
    <w:rsid w:val="00424E51"/>
    <w:rsid w:val="00432771"/>
    <w:rsid w:val="004332D6"/>
    <w:rsid w:val="00444F1C"/>
    <w:rsid w:val="004536D6"/>
    <w:rsid w:val="00454B93"/>
    <w:rsid w:val="00466B12"/>
    <w:rsid w:val="004A65B0"/>
    <w:rsid w:val="004B6D3B"/>
    <w:rsid w:val="004D0F98"/>
    <w:rsid w:val="004F0F0F"/>
    <w:rsid w:val="004F4780"/>
    <w:rsid w:val="00502FBF"/>
    <w:rsid w:val="00503473"/>
    <w:rsid w:val="00511796"/>
    <w:rsid w:val="005424A4"/>
    <w:rsid w:val="00561F39"/>
    <w:rsid w:val="005B514F"/>
    <w:rsid w:val="005C592A"/>
    <w:rsid w:val="005E0CAB"/>
    <w:rsid w:val="005E240E"/>
    <w:rsid w:val="005E3C3F"/>
    <w:rsid w:val="005F18B4"/>
    <w:rsid w:val="005F298B"/>
    <w:rsid w:val="005F370A"/>
    <w:rsid w:val="005F43EE"/>
    <w:rsid w:val="005F5312"/>
    <w:rsid w:val="0062383B"/>
    <w:rsid w:val="00627BCB"/>
    <w:rsid w:val="0063599A"/>
    <w:rsid w:val="00641AD2"/>
    <w:rsid w:val="0064411E"/>
    <w:rsid w:val="00660F56"/>
    <w:rsid w:val="00671491"/>
    <w:rsid w:val="00695276"/>
    <w:rsid w:val="006D2D18"/>
    <w:rsid w:val="006D7E3D"/>
    <w:rsid w:val="006E1C6B"/>
    <w:rsid w:val="00703CAD"/>
    <w:rsid w:val="007074F0"/>
    <w:rsid w:val="0070764D"/>
    <w:rsid w:val="0074163B"/>
    <w:rsid w:val="00770F35"/>
    <w:rsid w:val="00790BA2"/>
    <w:rsid w:val="00792533"/>
    <w:rsid w:val="007A2F24"/>
    <w:rsid w:val="007C0576"/>
    <w:rsid w:val="007C0D0A"/>
    <w:rsid w:val="007C16F0"/>
    <w:rsid w:val="007C70A9"/>
    <w:rsid w:val="007E22E1"/>
    <w:rsid w:val="007E7A92"/>
    <w:rsid w:val="00801350"/>
    <w:rsid w:val="00822676"/>
    <w:rsid w:val="008231D8"/>
    <w:rsid w:val="00834FC2"/>
    <w:rsid w:val="00842000"/>
    <w:rsid w:val="00844E00"/>
    <w:rsid w:val="00851A1F"/>
    <w:rsid w:val="008609D4"/>
    <w:rsid w:val="0087091A"/>
    <w:rsid w:val="00875B03"/>
    <w:rsid w:val="00893410"/>
    <w:rsid w:val="008B63BE"/>
    <w:rsid w:val="008C2EE3"/>
    <w:rsid w:val="008C3F51"/>
    <w:rsid w:val="008C51DB"/>
    <w:rsid w:val="008E12A5"/>
    <w:rsid w:val="00902F36"/>
    <w:rsid w:val="0090461A"/>
    <w:rsid w:val="0090698B"/>
    <w:rsid w:val="00907640"/>
    <w:rsid w:val="00907D62"/>
    <w:rsid w:val="00916EA9"/>
    <w:rsid w:val="00925399"/>
    <w:rsid w:val="00966B90"/>
    <w:rsid w:val="0098765E"/>
    <w:rsid w:val="009913DA"/>
    <w:rsid w:val="00A17626"/>
    <w:rsid w:val="00A60F5A"/>
    <w:rsid w:val="00A77336"/>
    <w:rsid w:val="00A847BF"/>
    <w:rsid w:val="00AA3051"/>
    <w:rsid w:val="00AC5DFC"/>
    <w:rsid w:val="00AD6C10"/>
    <w:rsid w:val="00AE3145"/>
    <w:rsid w:val="00AF50FB"/>
    <w:rsid w:val="00AF56D4"/>
    <w:rsid w:val="00B57073"/>
    <w:rsid w:val="00B7363F"/>
    <w:rsid w:val="00B743C4"/>
    <w:rsid w:val="00B81745"/>
    <w:rsid w:val="00B909F7"/>
    <w:rsid w:val="00BA1171"/>
    <w:rsid w:val="00BA6D8C"/>
    <w:rsid w:val="00BC7A39"/>
    <w:rsid w:val="00BD5D50"/>
    <w:rsid w:val="00BD5E3F"/>
    <w:rsid w:val="00BF4B32"/>
    <w:rsid w:val="00C2593F"/>
    <w:rsid w:val="00C41AB8"/>
    <w:rsid w:val="00C541B7"/>
    <w:rsid w:val="00C7581A"/>
    <w:rsid w:val="00C83F2F"/>
    <w:rsid w:val="00C91A3A"/>
    <w:rsid w:val="00C9744D"/>
    <w:rsid w:val="00CA36DD"/>
    <w:rsid w:val="00CB2AD1"/>
    <w:rsid w:val="00CB382C"/>
    <w:rsid w:val="00D10F9F"/>
    <w:rsid w:val="00D221DC"/>
    <w:rsid w:val="00D45976"/>
    <w:rsid w:val="00D45DFA"/>
    <w:rsid w:val="00DA7338"/>
    <w:rsid w:val="00DB0A97"/>
    <w:rsid w:val="00DC6E7C"/>
    <w:rsid w:val="00DD31AF"/>
    <w:rsid w:val="00E02005"/>
    <w:rsid w:val="00E035BA"/>
    <w:rsid w:val="00E07F8D"/>
    <w:rsid w:val="00E37107"/>
    <w:rsid w:val="00E419C9"/>
    <w:rsid w:val="00E462BB"/>
    <w:rsid w:val="00E507DA"/>
    <w:rsid w:val="00E61289"/>
    <w:rsid w:val="00E634B0"/>
    <w:rsid w:val="00E716CA"/>
    <w:rsid w:val="00E72AD9"/>
    <w:rsid w:val="00E7493A"/>
    <w:rsid w:val="00E7591F"/>
    <w:rsid w:val="00EB71C7"/>
    <w:rsid w:val="00EC78A8"/>
    <w:rsid w:val="00ED2C18"/>
    <w:rsid w:val="00EE6197"/>
    <w:rsid w:val="00EF0642"/>
    <w:rsid w:val="00F1440B"/>
    <w:rsid w:val="00F1593F"/>
    <w:rsid w:val="00F17784"/>
    <w:rsid w:val="00F22411"/>
    <w:rsid w:val="00F35FA9"/>
    <w:rsid w:val="00F376BC"/>
    <w:rsid w:val="00F448A9"/>
    <w:rsid w:val="00F76813"/>
    <w:rsid w:val="00F93961"/>
    <w:rsid w:val="00FB1779"/>
    <w:rsid w:val="00FE1E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2E4D02D-E23B-4708-9D19-CEF5E561C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03CAD"/>
  </w:style>
  <w:style w:type="paragraph" w:styleId="Naslov1">
    <w:name w:val="heading 1"/>
    <w:basedOn w:val="Navaden"/>
    <w:next w:val="Navaden"/>
    <w:link w:val="Naslov1Znak"/>
    <w:qFormat/>
    <w:rsid w:val="0098765E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link w:val="Naslov2Znak"/>
    <w:qFormat/>
    <w:rsid w:val="0098765E"/>
    <w:pPr>
      <w:keepNext/>
      <w:widowControl w:val="0"/>
      <w:autoSpaceDE w:val="0"/>
      <w:autoSpaceDN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2228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styleId="Hiperpovezava">
    <w:name w:val="Hyperlink"/>
    <w:basedOn w:val="Privzetapisavaodstavka"/>
    <w:uiPriority w:val="99"/>
    <w:unhideWhenUsed/>
    <w:rsid w:val="00E7591F"/>
    <w:rPr>
      <w:color w:val="0563C1" w:themeColor="hyperlink"/>
      <w:u w:val="single"/>
    </w:rPr>
  </w:style>
  <w:style w:type="paragraph" w:styleId="Odstavekseznama">
    <w:name w:val="List Paragraph"/>
    <w:basedOn w:val="Navaden"/>
    <w:uiPriority w:val="34"/>
    <w:qFormat/>
    <w:rsid w:val="004536D6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E314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E3145"/>
    <w:rPr>
      <w:rFonts w:ascii="Segoe U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192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9250C"/>
  </w:style>
  <w:style w:type="paragraph" w:styleId="Noga">
    <w:name w:val="footer"/>
    <w:basedOn w:val="Navaden"/>
    <w:link w:val="NogaZnak"/>
    <w:uiPriority w:val="99"/>
    <w:unhideWhenUsed/>
    <w:rsid w:val="00192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9250C"/>
  </w:style>
  <w:style w:type="character" w:styleId="Pripombasklic">
    <w:name w:val="annotation reference"/>
    <w:basedOn w:val="Privzetapisavaodstavka"/>
    <w:uiPriority w:val="99"/>
    <w:unhideWhenUsed/>
    <w:rsid w:val="000456C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456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456C9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customStyle="1" w:styleId="Naslov1Znak">
    <w:name w:val="Naslov 1 Znak"/>
    <w:basedOn w:val="Privzetapisavaodstavka"/>
    <w:link w:val="Naslov1"/>
    <w:rsid w:val="0098765E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rsid w:val="0098765E"/>
    <w:rPr>
      <w:rFonts w:ascii="Arial" w:eastAsia="Times New Roman" w:hAnsi="Arial" w:cs="Arial"/>
      <w:b/>
      <w:bCs/>
      <w:i/>
      <w:iCs/>
      <w:sz w:val="28"/>
      <w:szCs w:val="28"/>
      <w:lang w:eastAsia="sl-SI"/>
    </w:rPr>
  </w:style>
  <w:style w:type="character" w:customStyle="1" w:styleId="CharacterStyle1">
    <w:name w:val="Character Style 1"/>
    <w:rsid w:val="0098765E"/>
    <w:rPr>
      <w:rFonts w:ascii="Arial" w:hAnsi="Arial"/>
      <w:sz w:val="18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D28FB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D28FB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222882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1474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83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56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33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4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0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40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3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4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0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03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8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7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6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13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1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8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3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7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6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98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33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9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661219C-C1DC-4938-AC9F-EE09C5965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SODO</Company>
  <LinksUpToDate>false</LinksUpToDate>
  <CharactersWithSpaces>7849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Barbara Karl</dc:creator>
  <cp:keywords/>
  <dc:description/>
  <cp:lastModifiedBy>Matjaz BAROVIC</cp:lastModifiedBy>
  <cp:revision>14</cp:revision>
  <cp:lastPrinted>2019-01-24T11:33:00Z</cp:lastPrinted>
  <dcterms:created xsi:type="dcterms:W3CDTF">2021-11-12T08:13:00Z</dcterms:created>
  <dcterms:modified xsi:type="dcterms:W3CDTF">2021-11-12T14:11:00Z</dcterms:modified>
</cp:coreProperties>
</file>